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4E24E9">
      <w:pPr>
        <w:jc w:val="center"/>
        <w:rPr>
          <w:rFonts w:hint="eastAsia" w:eastAsia="微软雅黑"/>
          <w:sz w:val="30"/>
          <w:szCs w:val="30"/>
          <w:lang w:val="en-US" w:eastAsia="zh-CN"/>
        </w:rPr>
      </w:pPr>
      <w:r>
        <w:rPr>
          <w:rFonts w:hint="eastAsia" w:ascii="微软雅黑" w:hAnsi="微软雅黑" w:eastAsia="微软雅黑" w:cs="微软雅黑"/>
          <w:b/>
          <w:bCs/>
          <w:sz w:val="30"/>
          <w:szCs w:val="30"/>
          <w:lang w:val="en-US" w:eastAsia="zh-CN"/>
        </w:rPr>
        <w:t>管理学院关于开展2025年团总支学生会招新工作的通知</w:t>
      </w:r>
    </w:p>
    <w:p w14:paraId="381EA081"/>
    <w:p w14:paraId="5AE5C697">
      <w:pPr>
        <w:spacing w:line="480" w:lineRule="exact"/>
        <w:rPr>
          <w:rFonts w:ascii="微软雅黑" w:hAnsi="微软雅黑" w:eastAsia="微软雅黑" w:cs="微软雅黑"/>
          <w:b/>
          <w:bCs/>
          <w:sz w:val="24"/>
        </w:rPr>
      </w:pPr>
      <w:r>
        <w:rPr>
          <w:rFonts w:hint="eastAsia" w:ascii="微软雅黑" w:hAnsi="微软雅黑" w:eastAsia="微软雅黑" w:cs="微软雅黑"/>
          <w:b/>
          <w:bCs/>
          <w:sz w:val="24"/>
        </w:rPr>
        <w:t>一、</w:t>
      </w:r>
      <w:r>
        <w:rPr>
          <w:rFonts w:hint="eastAsia" w:ascii="微软雅黑" w:hAnsi="微软雅黑" w:eastAsia="微软雅黑" w:cs="微软雅黑"/>
          <w:b/>
          <w:bCs/>
          <w:sz w:val="24"/>
          <w:lang w:val="en-US" w:eastAsia="zh-CN"/>
        </w:rPr>
        <w:t>选聘</w:t>
      </w:r>
      <w:r>
        <w:rPr>
          <w:rFonts w:hint="eastAsia" w:ascii="微软雅黑" w:hAnsi="微软雅黑" w:eastAsia="微软雅黑" w:cs="微软雅黑"/>
          <w:b/>
          <w:bCs/>
          <w:sz w:val="24"/>
        </w:rPr>
        <w:t>目的</w:t>
      </w:r>
    </w:p>
    <w:p w14:paraId="10D565C9">
      <w:pPr>
        <w:spacing w:line="480" w:lineRule="exact"/>
        <w:ind w:firstLine="480" w:firstLineChars="200"/>
        <w:rPr>
          <w:rFonts w:hint="eastAsia" w:ascii="宋体" w:hAnsi="宋体" w:eastAsia="宋体" w:cs="宋体"/>
          <w:sz w:val="24"/>
          <w:lang w:val="en-US" w:eastAsia="zh-CN"/>
        </w:rPr>
      </w:pPr>
      <w:r>
        <w:rPr>
          <w:rFonts w:hint="eastAsia" w:ascii="宋体" w:hAnsi="宋体" w:cs="宋体"/>
          <w:sz w:val="24"/>
        </w:rPr>
        <w:t>为保障管理学院团总支学生会工作的连续性，培养一批高素质、高水平的学生干部，充分发挥学生组织的自我教育、自我服务和自我管理的职能，大力促进校园文化建设。本着“公平、公正、公开”的原则，现进行202</w:t>
      </w:r>
      <w:r>
        <w:rPr>
          <w:rFonts w:hint="eastAsia" w:ascii="宋体" w:hAnsi="宋体" w:cs="宋体"/>
          <w:sz w:val="24"/>
          <w:lang w:val="en-US" w:eastAsia="zh-CN"/>
        </w:rPr>
        <w:t>5</w:t>
      </w:r>
      <w:r>
        <w:rPr>
          <w:rFonts w:hint="eastAsia" w:ascii="宋体" w:hAnsi="宋体" w:cs="宋体"/>
          <w:sz w:val="24"/>
        </w:rPr>
        <w:t>年管理学院团总支学生会招新工作。</w:t>
      </w:r>
    </w:p>
    <w:p w14:paraId="2C922533">
      <w:pPr>
        <w:spacing w:line="480" w:lineRule="exact"/>
        <w:rPr>
          <w:rFonts w:ascii="微软雅黑" w:hAnsi="微软雅黑" w:eastAsia="微软雅黑" w:cs="微软雅黑"/>
          <w:b/>
          <w:bCs/>
          <w:sz w:val="24"/>
        </w:rPr>
      </w:pPr>
      <w:r>
        <w:rPr>
          <w:rFonts w:hint="eastAsia" w:ascii="微软雅黑" w:hAnsi="微软雅黑" w:eastAsia="微软雅黑" w:cs="微软雅黑"/>
          <w:b/>
          <w:bCs/>
          <w:sz w:val="24"/>
        </w:rPr>
        <w:t>二、</w:t>
      </w:r>
      <w:r>
        <w:rPr>
          <w:rFonts w:hint="eastAsia" w:ascii="微软雅黑" w:hAnsi="微软雅黑" w:eastAsia="微软雅黑" w:cs="微软雅黑"/>
          <w:b/>
          <w:bCs/>
          <w:sz w:val="24"/>
          <w:lang w:val="en-US" w:eastAsia="zh-CN"/>
        </w:rPr>
        <w:t>选聘</w:t>
      </w:r>
      <w:r>
        <w:rPr>
          <w:rFonts w:hint="eastAsia" w:ascii="微软雅黑" w:hAnsi="微软雅黑" w:eastAsia="微软雅黑" w:cs="微软雅黑"/>
          <w:b/>
          <w:bCs/>
          <w:sz w:val="24"/>
        </w:rPr>
        <w:t>对象</w:t>
      </w:r>
    </w:p>
    <w:p w14:paraId="407BF7F7">
      <w:pPr>
        <w:spacing w:line="480" w:lineRule="exact"/>
        <w:ind w:firstLine="480" w:firstLineChars="200"/>
        <w:rPr>
          <w:rFonts w:ascii="仿宋" w:hAnsi="仿宋" w:eastAsia="仿宋" w:cs="仿宋"/>
          <w:sz w:val="24"/>
        </w:rPr>
      </w:pPr>
      <w:r>
        <w:rPr>
          <w:rFonts w:hint="eastAsia" w:ascii="宋体" w:hAnsi="宋体" w:cs="宋体"/>
          <w:sz w:val="24"/>
          <w:lang w:val="en-US" w:eastAsia="zh-CN"/>
        </w:rPr>
        <w:t>管理学院2025级全体新生（专升本新生除外）</w:t>
      </w:r>
      <w:r>
        <w:rPr>
          <w:rFonts w:hint="eastAsia" w:ascii="宋体" w:hAnsi="宋体" w:cs="宋体"/>
          <w:sz w:val="24"/>
        </w:rPr>
        <w:t>。</w:t>
      </w:r>
    </w:p>
    <w:p w14:paraId="36C967F7">
      <w:pPr>
        <w:spacing w:line="480" w:lineRule="exact"/>
        <w:rPr>
          <w:rFonts w:ascii="仿宋" w:hAnsi="仿宋" w:eastAsia="仿宋" w:cs="仿宋"/>
          <w:sz w:val="24"/>
        </w:rPr>
      </w:pPr>
      <w:r>
        <w:rPr>
          <w:rFonts w:hint="eastAsia" w:ascii="微软雅黑" w:hAnsi="微软雅黑" w:eastAsia="微软雅黑" w:cs="微软雅黑"/>
          <w:b/>
          <w:bCs/>
          <w:sz w:val="24"/>
        </w:rPr>
        <w:t>三、</w:t>
      </w:r>
      <w:r>
        <w:rPr>
          <w:rFonts w:hint="eastAsia" w:ascii="微软雅黑" w:hAnsi="微软雅黑" w:eastAsia="微软雅黑" w:cs="微软雅黑"/>
          <w:b/>
          <w:bCs/>
          <w:sz w:val="24"/>
          <w:lang w:val="en-US" w:eastAsia="zh-CN"/>
        </w:rPr>
        <w:t>选聘</w:t>
      </w:r>
      <w:r>
        <w:rPr>
          <w:rFonts w:hint="eastAsia" w:ascii="微软雅黑" w:hAnsi="微软雅黑" w:eastAsia="微软雅黑" w:cs="微软雅黑"/>
          <w:b/>
          <w:bCs/>
          <w:sz w:val="24"/>
        </w:rPr>
        <w:t>职位</w:t>
      </w:r>
    </w:p>
    <w:tbl>
      <w:tblPr>
        <w:tblStyle w:val="6"/>
        <w:tblW w:w="6032" w:type="dxa"/>
        <w:tblInd w:w="6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6"/>
        <w:gridCol w:w="3016"/>
      </w:tblGrid>
      <w:tr w14:paraId="0121C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016" w:type="dxa"/>
            <w:vAlign w:val="center"/>
          </w:tcPr>
          <w:p w14:paraId="35D5CEF0">
            <w:pPr>
              <w:spacing w:line="480" w:lineRule="exact"/>
              <w:jc w:val="center"/>
              <w:rPr>
                <w:rFonts w:hint="default" w:ascii="宋体" w:hAnsi="宋体" w:eastAsia="宋体" w:cs="宋体"/>
                <w:sz w:val="24"/>
                <w:lang w:val="en-US" w:eastAsia="zh-CN"/>
              </w:rPr>
            </w:pPr>
            <w:r>
              <w:rPr>
                <w:rFonts w:hint="eastAsia" w:ascii="宋体" w:hAnsi="宋体" w:cs="宋体"/>
                <w:sz w:val="24"/>
                <w:lang w:val="en-US" w:eastAsia="zh-CN"/>
              </w:rPr>
              <w:t>部  门</w:t>
            </w:r>
          </w:p>
        </w:tc>
        <w:tc>
          <w:tcPr>
            <w:tcW w:w="3016" w:type="dxa"/>
            <w:vAlign w:val="center"/>
          </w:tcPr>
          <w:p w14:paraId="6E4167E6">
            <w:pPr>
              <w:spacing w:line="480" w:lineRule="exact"/>
              <w:jc w:val="center"/>
              <w:rPr>
                <w:rFonts w:hint="default" w:ascii="宋体" w:hAnsi="宋体" w:cs="宋体"/>
                <w:sz w:val="24"/>
                <w:lang w:val="en-US" w:eastAsia="zh-CN"/>
              </w:rPr>
            </w:pPr>
            <w:r>
              <w:rPr>
                <w:rFonts w:hint="eastAsia" w:ascii="宋体" w:hAnsi="宋体" w:cs="宋体"/>
                <w:sz w:val="24"/>
                <w:lang w:val="en-US" w:eastAsia="zh-CN"/>
              </w:rPr>
              <w:t>人  数（拟定）</w:t>
            </w:r>
          </w:p>
        </w:tc>
      </w:tr>
      <w:tr w14:paraId="6FC8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016" w:type="dxa"/>
            <w:vAlign w:val="center"/>
          </w:tcPr>
          <w:p w14:paraId="35A9ED26">
            <w:pPr>
              <w:spacing w:line="480" w:lineRule="exact"/>
              <w:jc w:val="center"/>
              <w:rPr>
                <w:rFonts w:hint="default" w:ascii="宋体" w:hAnsi="宋体" w:cs="宋体"/>
                <w:sz w:val="24"/>
                <w:lang w:val="en-US" w:eastAsia="zh-CN"/>
              </w:rPr>
            </w:pPr>
            <w:r>
              <w:rPr>
                <w:rFonts w:hint="eastAsia" w:ascii="宋体" w:hAnsi="宋体" w:cs="宋体"/>
                <w:sz w:val="24"/>
                <w:lang w:val="en-US" w:eastAsia="zh-CN"/>
              </w:rPr>
              <w:t>综合服务部</w:t>
            </w:r>
          </w:p>
        </w:tc>
        <w:tc>
          <w:tcPr>
            <w:tcW w:w="3016" w:type="dxa"/>
            <w:vAlign w:val="center"/>
          </w:tcPr>
          <w:p w14:paraId="75859DE5">
            <w:pPr>
              <w:spacing w:line="480" w:lineRule="exact"/>
              <w:jc w:val="center"/>
              <w:rPr>
                <w:rFonts w:hint="default" w:ascii="宋体" w:hAnsi="宋体" w:cs="宋体"/>
                <w:sz w:val="24"/>
                <w:lang w:val="en-US" w:eastAsia="zh-CN"/>
              </w:rPr>
            </w:pPr>
            <w:r>
              <w:rPr>
                <w:rFonts w:hint="eastAsia" w:ascii="宋体" w:hAnsi="宋体" w:cs="宋体"/>
                <w:sz w:val="24"/>
                <w:lang w:val="en-US" w:eastAsia="zh-CN"/>
              </w:rPr>
              <w:t>10-15</w:t>
            </w:r>
          </w:p>
        </w:tc>
      </w:tr>
      <w:tr w14:paraId="270B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016" w:type="dxa"/>
            <w:vAlign w:val="center"/>
          </w:tcPr>
          <w:p w14:paraId="3BB3F443">
            <w:pPr>
              <w:spacing w:line="480" w:lineRule="exact"/>
              <w:jc w:val="center"/>
              <w:rPr>
                <w:rFonts w:hint="default" w:ascii="宋体" w:hAnsi="宋体" w:eastAsia="宋体" w:cs="宋体"/>
                <w:sz w:val="24"/>
                <w:lang w:val="en-US" w:eastAsia="zh-CN"/>
              </w:rPr>
            </w:pPr>
            <w:r>
              <w:rPr>
                <w:rFonts w:hint="eastAsia" w:ascii="宋体" w:hAnsi="宋体" w:cs="宋体"/>
                <w:sz w:val="24"/>
                <w:lang w:val="en-US" w:eastAsia="zh-CN"/>
              </w:rPr>
              <w:t>组织部</w:t>
            </w:r>
          </w:p>
        </w:tc>
        <w:tc>
          <w:tcPr>
            <w:tcW w:w="3016" w:type="dxa"/>
            <w:vAlign w:val="center"/>
          </w:tcPr>
          <w:p w14:paraId="43ED1D32">
            <w:pPr>
              <w:spacing w:line="480" w:lineRule="exact"/>
              <w:jc w:val="center"/>
              <w:rPr>
                <w:rFonts w:hint="default" w:ascii="宋体" w:hAnsi="宋体" w:eastAsia="宋体" w:cs="宋体"/>
                <w:sz w:val="24"/>
                <w:lang w:val="en-US" w:eastAsia="zh-CN"/>
              </w:rPr>
            </w:pPr>
            <w:r>
              <w:rPr>
                <w:rFonts w:hint="eastAsia" w:ascii="宋体" w:hAnsi="宋体" w:cs="宋体"/>
                <w:sz w:val="24"/>
                <w:lang w:val="en-US" w:eastAsia="zh-CN"/>
              </w:rPr>
              <w:t>10-15</w:t>
            </w:r>
          </w:p>
        </w:tc>
      </w:tr>
      <w:tr w14:paraId="57FFC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016" w:type="dxa"/>
            <w:vAlign w:val="center"/>
          </w:tcPr>
          <w:p w14:paraId="21EA34C8">
            <w:pPr>
              <w:spacing w:line="480" w:lineRule="exact"/>
              <w:jc w:val="center"/>
              <w:rPr>
                <w:rFonts w:hint="default" w:ascii="宋体" w:hAnsi="宋体" w:eastAsia="宋体" w:cs="宋体"/>
                <w:sz w:val="24"/>
                <w:lang w:val="en-US" w:eastAsia="zh-CN"/>
              </w:rPr>
            </w:pPr>
            <w:r>
              <w:rPr>
                <w:rFonts w:hint="eastAsia" w:ascii="宋体" w:hAnsi="宋体" w:cs="宋体"/>
                <w:sz w:val="24"/>
                <w:lang w:val="en-US" w:eastAsia="zh-CN"/>
              </w:rPr>
              <w:t>学习部</w:t>
            </w:r>
          </w:p>
        </w:tc>
        <w:tc>
          <w:tcPr>
            <w:tcW w:w="3016" w:type="dxa"/>
            <w:vAlign w:val="center"/>
          </w:tcPr>
          <w:p w14:paraId="441ED83B">
            <w:pPr>
              <w:spacing w:line="480" w:lineRule="exact"/>
              <w:jc w:val="center"/>
              <w:rPr>
                <w:rFonts w:hint="default" w:ascii="宋体" w:hAnsi="宋体" w:eastAsia="宋体" w:cs="宋体"/>
                <w:sz w:val="24"/>
                <w:lang w:val="en-US" w:eastAsia="zh-CN"/>
              </w:rPr>
            </w:pPr>
            <w:r>
              <w:rPr>
                <w:rFonts w:hint="eastAsia" w:ascii="宋体" w:hAnsi="宋体" w:cs="宋体"/>
                <w:sz w:val="24"/>
                <w:lang w:val="en-US" w:eastAsia="zh-CN"/>
              </w:rPr>
              <w:t>10-15</w:t>
            </w:r>
          </w:p>
        </w:tc>
      </w:tr>
      <w:tr w14:paraId="47A49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016" w:type="dxa"/>
            <w:vAlign w:val="center"/>
          </w:tcPr>
          <w:p w14:paraId="6179982E">
            <w:pPr>
              <w:spacing w:line="480" w:lineRule="exact"/>
              <w:jc w:val="center"/>
              <w:rPr>
                <w:rFonts w:hint="default" w:ascii="宋体" w:hAnsi="宋体" w:eastAsia="宋体" w:cs="宋体"/>
                <w:sz w:val="24"/>
                <w:lang w:val="en-US" w:eastAsia="zh-CN"/>
              </w:rPr>
            </w:pPr>
            <w:r>
              <w:rPr>
                <w:rFonts w:hint="eastAsia" w:ascii="宋体" w:hAnsi="宋体" w:cs="宋体"/>
                <w:sz w:val="24"/>
                <w:lang w:val="en-US" w:eastAsia="zh-CN"/>
              </w:rPr>
              <w:t>宣传部</w:t>
            </w:r>
          </w:p>
        </w:tc>
        <w:tc>
          <w:tcPr>
            <w:tcW w:w="3016" w:type="dxa"/>
            <w:vAlign w:val="center"/>
          </w:tcPr>
          <w:p w14:paraId="2EF32478">
            <w:pPr>
              <w:spacing w:line="480" w:lineRule="exact"/>
              <w:jc w:val="center"/>
              <w:rPr>
                <w:rFonts w:hint="default" w:ascii="宋体" w:hAnsi="宋体" w:eastAsia="宋体" w:cs="宋体"/>
                <w:sz w:val="24"/>
                <w:lang w:val="en-US" w:eastAsia="zh-CN"/>
              </w:rPr>
            </w:pPr>
            <w:r>
              <w:rPr>
                <w:rFonts w:hint="eastAsia" w:ascii="宋体" w:hAnsi="宋体" w:cs="宋体"/>
                <w:sz w:val="24"/>
                <w:lang w:val="en-US" w:eastAsia="zh-CN"/>
              </w:rPr>
              <w:t>10-15</w:t>
            </w:r>
          </w:p>
        </w:tc>
      </w:tr>
      <w:tr w14:paraId="786BE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16" w:type="dxa"/>
            <w:vAlign w:val="center"/>
          </w:tcPr>
          <w:p w14:paraId="73F799FC">
            <w:pPr>
              <w:spacing w:line="480" w:lineRule="exact"/>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文体部</w:t>
            </w:r>
          </w:p>
        </w:tc>
        <w:tc>
          <w:tcPr>
            <w:tcW w:w="3016" w:type="dxa"/>
            <w:vAlign w:val="center"/>
          </w:tcPr>
          <w:p w14:paraId="538B9BCD">
            <w:pPr>
              <w:spacing w:line="480" w:lineRule="exact"/>
              <w:jc w:val="center"/>
              <w:rPr>
                <w:rFonts w:hint="default" w:ascii="宋体" w:hAnsi="宋体" w:eastAsia="宋体" w:cs="宋体"/>
                <w:kern w:val="2"/>
                <w:sz w:val="24"/>
                <w:szCs w:val="24"/>
                <w:lang w:val="en-US" w:eastAsia="zh-CN" w:bidi="ar-SA"/>
              </w:rPr>
            </w:pPr>
            <w:r>
              <w:rPr>
                <w:rFonts w:hint="eastAsia" w:ascii="宋体" w:hAnsi="宋体" w:cs="宋体"/>
                <w:sz w:val="24"/>
                <w:lang w:val="en-US" w:eastAsia="zh-CN"/>
              </w:rPr>
              <w:t>10-15</w:t>
            </w:r>
          </w:p>
        </w:tc>
      </w:tr>
      <w:tr w14:paraId="0764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16" w:type="dxa"/>
            <w:vAlign w:val="center"/>
          </w:tcPr>
          <w:p w14:paraId="6D9CA36F">
            <w:pPr>
              <w:spacing w:line="480" w:lineRule="exact"/>
              <w:jc w:val="cente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生活部</w:t>
            </w:r>
          </w:p>
        </w:tc>
        <w:tc>
          <w:tcPr>
            <w:tcW w:w="3016" w:type="dxa"/>
            <w:vAlign w:val="center"/>
          </w:tcPr>
          <w:p w14:paraId="61B1E5A4">
            <w:pPr>
              <w:spacing w:line="480" w:lineRule="exact"/>
              <w:jc w:val="center"/>
              <w:rPr>
                <w:rFonts w:hint="default" w:ascii="宋体" w:hAnsi="宋体" w:cs="宋体"/>
                <w:kern w:val="2"/>
                <w:sz w:val="24"/>
                <w:szCs w:val="24"/>
                <w:lang w:val="en-US" w:eastAsia="zh-CN" w:bidi="ar-SA"/>
              </w:rPr>
            </w:pPr>
            <w:r>
              <w:rPr>
                <w:rFonts w:hint="eastAsia" w:ascii="宋体" w:hAnsi="宋体" w:cs="宋体"/>
                <w:sz w:val="24"/>
                <w:lang w:val="en-US" w:eastAsia="zh-CN"/>
              </w:rPr>
              <w:t>10-15</w:t>
            </w:r>
          </w:p>
        </w:tc>
      </w:tr>
      <w:tr w14:paraId="3488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0" w:type="auto"/>
            <w:vAlign w:val="center"/>
          </w:tcPr>
          <w:p w14:paraId="1AFDCC2E">
            <w:pPr>
              <w:spacing w:line="480" w:lineRule="exact"/>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权益部</w:t>
            </w:r>
          </w:p>
        </w:tc>
        <w:tc>
          <w:tcPr>
            <w:tcW w:w="0" w:type="auto"/>
            <w:vAlign w:val="center"/>
          </w:tcPr>
          <w:p w14:paraId="241A2F1F">
            <w:pPr>
              <w:spacing w:line="480" w:lineRule="exact"/>
              <w:jc w:val="center"/>
              <w:rPr>
                <w:rFonts w:hint="default" w:ascii="宋体" w:hAnsi="宋体" w:eastAsia="宋体" w:cs="宋体"/>
                <w:kern w:val="2"/>
                <w:sz w:val="24"/>
                <w:szCs w:val="24"/>
                <w:lang w:val="en-US" w:eastAsia="zh-CN" w:bidi="ar-SA"/>
              </w:rPr>
            </w:pPr>
            <w:r>
              <w:rPr>
                <w:rFonts w:hint="eastAsia" w:ascii="宋体" w:hAnsi="宋体" w:cs="宋体"/>
                <w:sz w:val="24"/>
                <w:lang w:val="en-US" w:eastAsia="zh-CN"/>
              </w:rPr>
              <w:t>10-15</w:t>
            </w:r>
          </w:p>
        </w:tc>
      </w:tr>
      <w:tr w14:paraId="07A3B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0" w:type="auto"/>
            <w:vAlign w:val="center"/>
          </w:tcPr>
          <w:p w14:paraId="13417E22">
            <w:pPr>
              <w:spacing w:line="480" w:lineRule="exact"/>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媒体工作部</w:t>
            </w:r>
          </w:p>
        </w:tc>
        <w:tc>
          <w:tcPr>
            <w:tcW w:w="0" w:type="auto"/>
            <w:vAlign w:val="center"/>
          </w:tcPr>
          <w:p w14:paraId="14A6F99C">
            <w:pPr>
              <w:spacing w:line="480" w:lineRule="exact"/>
              <w:jc w:val="center"/>
              <w:rPr>
                <w:rFonts w:hint="default" w:ascii="宋体" w:hAnsi="宋体" w:eastAsia="宋体" w:cs="宋体"/>
                <w:kern w:val="2"/>
                <w:sz w:val="24"/>
                <w:szCs w:val="24"/>
                <w:lang w:val="en-US" w:eastAsia="zh-CN" w:bidi="ar-SA"/>
              </w:rPr>
            </w:pPr>
            <w:r>
              <w:rPr>
                <w:rFonts w:hint="eastAsia" w:ascii="宋体" w:hAnsi="宋体" w:cs="宋体"/>
                <w:sz w:val="24"/>
                <w:lang w:val="en-US" w:eastAsia="zh-CN"/>
              </w:rPr>
              <w:t>10-15</w:t>
            </w:r>
          </w:p>
        </w:tc>
      </w:tr>
      <w:tr w14:paraId="1045E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0" w:type="auto"/>
            <w:vAlign w:val="center"/>
          </w:tcPr>
          <w:p w14:paraId="5B3D19D2">
            <w:pPr>
              <w:spacing w:line="480" w:lineRule="exact"/>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志愿者实践部</w:t>
            </w:r>
          </w:p>
        </w:tc>
        <w:tc>
          <w:tcPr>
            <w:tcW w:w="0" w:type="auto"/>
            <w:vAlign w:val="center"/>
          </w:tcPr>
          <w:p w14:paraId="0FF2D268">
            <w:pPr>
              <w:spacing w:line="480" w:lineRule="exact"/>
              <w:jc w:val="center"/>
              <w:rPr>
                <w:rFonts w:hint="default" w:ascii="宋体" w:hAnsi="宋体" w:eastAsia="宋体" w:cs="宋体"/>
                <w:kern w:val="2"/>
                <w:sz w:val="24"/>
                <w:szCs w:val="24"/>
                <w:lang w:val="en-US" w:eastAsia="zh-CN" w:bidi="ar-SA"/>
              </w:rPr>
            </w:pPr>
            <w:r>
              <w:rPr>
                <w:rFonts w:hint="eastAsia" w:ascii="宋体" w:hAnsi="宋体" w:cs="宋体"/>
                <w:sz w:val="24"/>
                <w:lang w:val="en-US" w:eastAsia="zh-CN"/>
              </w:rPr>
              <w:t>10-15</w:t>
            </w:r>
          </w:p>
        </w:tc>
      </w:tr>
      <w:tr w14:paraId="5FB54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0" w:type="auto"/>
            <w:vAlign w:val="center"/>
          </w:tcPr>
          <w:p w14:paraId="10D2E685">
            <w:pPr>
              <w:spacing w:line="480" w:lineRule="exact"/>
              <w:jc w:val="center"/>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创新创业服务部</w:t>
            </w:r>
          </w:p>
        </w:tc>
        <w:tc>
          <w:tcPr>
            <w:tcW w:w="0" w:type="auto"/>
            <w:vAlign w:val="center"/>
          </w:tcPr>
          <w:p w14:paraId="5173852F">
            <w:pPr>
              <w:spacing w:line="480" w:lineRule="exact"/>
              <w:jc w:val="center"/>
              <w:rPr>
                <w:rFonts w:hint="default" w:ascii="宋体" w:hAnsi="宋体" w:eastAsia="宋体" w:cs="宋体"/>
                <w:kern w:val="2"/>
                <w:sz w:val="24"/>
                <w:szCs w:val="24"/>
                <w:lang w:val="en-US" w:eastAsia="zh-CN" w:bidi="ar-SA"/>
              </w:rPr>
            </w:pPr>
            <w:r>
              <w:rPr>
                <w:rFonts w:hint="eastAsia" w:ascii="宋体" w:hAnsi="宋体" w:cs="宋体"/>
                <w:sz w:val="24"/>
                <w:lang w:val="en-US" w:eastAsia="zh-CN"/>
              </w:rPr>
              <w:t>10-15</w:t>
            </w:r>
          </w:p>
        </w:tc>
      </w:tr>
      <w:tr w14:paraId="076D1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0" w:type="auto"/>
            <w:vAlign w:val="center"/>
          </w:tcPr>
          <w:p w14:paraId="180144A2">
            <w:pPr>
              <w:spacing w:line="480" w:lineRule="exact"/>
              <w:jc w:val="cente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学风督导队</w:t>
            </w:r>
          </w:p>
        </w:tc>
        <w:tc>
          <w:tcPr>
            <w:tcW w:w="0" w:type="auto"/>
            <w:vAlign w:val="center"/>
          </w:tcPr>
          <w:p w14:paraId="661B35B4">
            <w:pPr>
              <w:spacing w:line="480" w:lineRule="exact"/>
              <w:jc w:val="center"/>
              <w:rPr>
                <w:rFonts w:hint="default" w:ascii="宋体" w:hAnsi="宋体" w:cs="宋体"/>
                <w:kern w:val="2"/>
                <w:sz w:val="24"/>
                <w:szCs w:val="24"/>
                <w:lang w:val="en-US" w:eastAsia="zh-CN" w:bidi="ar-SA"/>
              </w:rPr>
            </w:pPr>
            <w:r>
              <w:rPr>
                <w:rFonts w:hint="eastAsia" w:ascii="宋体" w:hAnsi="宋体" w:cs="宋体"/>
                <w:sz w:val="24"/>
                <w:lang w:val="en-US" w:eastAsia="zh-CN"/>
              </w:rPr>
              <w:t>10-15</w:t>
            </w:r>
          </w:p>
        </w:tc>
      </w:tr>
      <w:tr w14:paraId="4E1D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0" w:type="auto"/>
            <w:vAlign w:val="center"/>
          </w:tcPr>
          <w:p w14:paraId="63DA544B">
            <w:pPr>
              <w:spacing w:line="480" w:lineRule="exact"/>
              <w:jc w:val="cente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文明督导队</w:t>
            </w:r>
          </w:p>
        </w:tc>
        <w:tc>
          <w:tcPr>
            <w:tcW w:w="0" w:type="auto"/>
            <w:vAlign w:val="center"/>
          </w:tcPr>
          <w:p w14:paraId="6357C7DB">
            <w:pPr>
              <w:spacing w:line="480" w:lineRule="exact"/>
              <w:jc w:val="center"/>
              <w:rPr>
                <w:rFonts w:hint="default" w:ascii="宋体" w:hAnsi="宋体" w:cs="宋体"/>
                <w:kern w:val="2"/>
                <w:sz w:val="24"/>
                <w:szCs w:val="24"/>
                <w:lang w:val="en-US" w:eastAsia="zh-CN" w:bidi="ar-SA"/>
              </w:rPr>
            </w:pPr>
            <w:r>
              <w:rPr>
                <w:rFonts w:hint="eastAsia" w:ascii="宋体" w:hAnsi="宋体" w:cs="宋体"/>
                <w:kern w:val="2"/>
                <w:sz w:val="24"/>
                <w:szCs w:val="24"/>
                <w:lang w:val="en-US" w:eastAsia="zh-CN" w:bidi="ar-SA"/>
              </w:rPr>
              <w:t>20</w:t>
            </w:r>
          </w:p>
        </w:tc>
      </w:tr>
    </w:tbl>
    <w:p w14:paraId="14AAA2E7">
      <w:pPr>
        <w:numPr>
          <w:ilvl w:val="0"/>
          <w:numId w:val="0"/>
        </w:numPr>
        <w:spacing w:line="480" w:lineRule="exact"/>
        <w:rPr>
          <w:rFonts w:hint="eastAsia" w:ascii="微软雅黑" w:hAnsi="微软雅黑" w:eastAsia="微软雅黑" w:cs="微软雅黑"/>
          <w:b/>
          <w:bCs/>
          <w:sz w:val="24"/>
        </w:rPr>
      </w:pPr>
      <w:r>
        <w:rPr>
          <w:rFonts w:hint="eastAsia" w:ascii="微软雅黑" w:hAnsi="微软雅黑" w:eastAsia="微软雅黑" w:cs="微软雅黑"/>
          <w:b/>
          <w:bCs/>
          <w:sz w:val="24"/>
          <w:lang w:val="en-US" w:eastAsia="zh-CN"/>
        </w:rPr>
        <w:t>四、选聘</w:t>
      </w:r>
      <w:r>
        <w:rPr>
          <w:rFonts w:hint="eastAsia" w:ascii="微软雅黑" w:hAnsi="微软雅黑" w:eastAsia="微软雅黑" w:cs="微软雅黑"/>
          <w:b/>
          <w:bCs/>
          <w:sz w:val="24"/>
        </w:rPr>
        <w:t>要求</w:t>
      </w:r>
    </w:p>
    <w:p w14:paraId="29BBEA07">
      <w:pPr>
        <w:spacing w:line="480" w:lineRule="exact"/>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eastAsia="zh-CN"/>
        </w:rPr>
        <w:t>、思想端正，作风正派，有坚定的政治立场和大局意识，有良好的道德品质</w:t>
      </w:r>
      <w:r>
        <w:rPr>
          <w:rFonts w:hint="eastAsia" w:ascii="宋体" w:hAnsi="宋体" w:cs="宋体"/>
          <w:sz w:val="24"/>
        </w:rPr>
        <w:t>；</w:t>
      </w:r>
    </w:p>
    <w:p w14:paraId="39FC45AD">
      <w:pPr>
        <w:spacing w:line="480" w:lineRule="exact"/>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、自觉遵守学校各项规章制度，学习刻苦，成绩优异，能够起到先锋模范作用</w:t>
      </w:r>
      <w:r>
        <w:rPr>
          <w:rFonts w:hint="eastAsia" w:ascii="宋体" w:hAnsi="宋体" w:cs="宋体"/>
          <w:sz w:val="24"/>
        </w:rPr>
        <w:t>；</w:t>
      </w:r>
    </w:p>
    <w:p w14:paraId="28F8CFFA">
      <w:pPr>
        <w:spacing w:line="480" w:lineRule="exact"/>
        <w:ind w:firstLine="480" w:firstLineChars="200"/>
        <w:rPr>
          <w:rFonts w:hint="eastAsia" w:ascii="宋体" w:hAnsi="宋体" w:cs="宋体"/>
          <w:sz w:val="24"/>
          <w:lang w:eastAsia="zh-CN"/>
        </w:rPr>
      </w:pPr>
      <w:r>
        <w:rPr>
          <w:rFonts w:hint="eastAsia" w:ascii="宋体" w:hAnsi="宋体" w:cs="宋体"/>
          <w:sz w:val="24"/>
          <w:lang w:val="en-US" w:eastAsia="zh-CN"/>
        </w:rPr>
        <w:t>3</w:t>
      </w:r>
      <w:r>
        <w:rPr>
          <w:rFonts w:hint="eastAsia" w:ascii="宋体" w:hAnsi="宋体" w:cs="宋体"/>
          <w:sz w:val="24"/>
          <w:lang w:eastAsia="zh-CN"/>
        </w:rPr>
        <w:t>、有较为突出的工作能力，能够吃苦耐劳、团结同学，有实事求是和敬业奉献的精神；</w:t>
      </w:r>
    </w:p>
    <w:p w14:paraId="7023508E">
      <w:pPr>
        <w:spacing w:line="480" w:lineRule="exact"/>
        <w:ind w:firstLine="480" w:firstLineChars="200"/>
        <w:rPr>
          <w:rFonts w:hint="default" w:ascii="宋体" w:hAnsi="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、有较强组织协调和抗压能力，具有团队精神。</w:t>
      </w:r>
    </w:p>
    <w:p w14:paraId="6C49DE77">
      <w:pPr>
        <w:spacing w:line="480" w:lineRule="exact"/>
        <w:rPr>
          <w:rFonts w:ascii="微软雅黑" w:hAnsi="微软雅黑" w:eastAsia="微软雅黑" w:cs="微软雅黑"/>
          <w:b/>
          <w:bCs/>
          <w:sz w:val="24"/>
        </w:rPr>
      </w:pPr>
      <w:r>
        <w:rPr>
          <w:rFonts w:hint="eastAsia" w:ascii="微软雅黑" w:hAnsi="微软雅黑" w:eastAsia="微软雅黑" w:cs="微软雅黑"/>
          <w:b/>
          <w:bCs/>
          <w:sz w:val="24"/>
        </w:rPr>
        <w:t>五、</w:t>
      </w:r>
      <w:r>
        <w:rPr>
          <w:rFonts w:hint="eastAsia" w:ascii="微软雅黑" w:hAnsi="微软雅黑" w:eastAsia="微软雅黑" w:cs="微软雅黑"/>
          <w:b/>
          <w:bCs/>
          <w:sz w:val="24"/>
          <w:lang w:val="en-US" w:eastAsia="zh-CN"/>
        </w:rPr>
        <w:t>换届</w:t>
      </w:r>
      <w:r>
        <w:rPr>
          <w:rFonts w:hint="eastAsia" w:ascii="微软雅黑" w:hAnsi="微软雅黑" w:eastAsia="微软雅黑" w:cs="微软雅黑"/>
          <w:b/>
          <w:bCs/>
          <w:sz w:val="24"/>
        </w:rPr>
        <w:t>流程</w:t>
      </w:r>
    </w:p>
    <w:p w14:paraId="219EE344">
      <w:pPr>
        <w:spacing w:line="480" w:lineRule="exact"/>
        <w:rPr>
          <w:rFonts w:ascii="宋体" w:hAnsi="宋体" w:cs="宋体"/>
          <w:b/>
          <w:bCs/>
          <w:sz w:val="24"/>
        </w:rPr>
      </w:pPr>
      <w:r>
        <w:rPr>
          <w:rFonts w:hint="eastAsia" w:ascii="宋体" w:hAnsi="宋体" w:cs="宋体"/>
          <w:b/>
          <w:bCs/>
          <w:sz w:val="24"/>
        </w:rPr>
        <w:t>（一）报名阶段</w:t>
      </w:r>
    </w:p>
    <w:p w14:paraId="7AC06F5A">
      <w:pPr>
        <w:spacing w:line="480" w:lineRule="exact"/>
        <w:ind w:firstLine="480" w:firstLineChars="200"/>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报名时间：202</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16</w:t>
      </w:r>
      <w:r>
        <w:rPr>
          <w:rFonts w:hint="eastAsia" w:ascii="宋体" w:hAnsi="宋体" w:cs="宋体"/>
          <w:sz w:val="24"/>
        </w:rPr>
        <w:t>日——202</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21</w:t>
      </w:r>
      <w:r>
        <w:rPr>
          <w:rFonts w:hint="eastAsia" w:ascii="宋体" w:hAnsi="宋体" w:cs="宋体"/>
          <w:sz w:val="24"/>
        </w:rPr>
        <w:t>日</w:t>
      </w:r>
    </w:p>
    <w:p w14:paraId="28501556">
      <w:pPr>
        <w:spacing w:line="480" w:lineRule="exact"/>
        <w:ind w:firstLine="480" w:firstLineChars="200"/>
        <w:rPr>
          <w:rFonts w:hint="eastAsia" w:ascii="宋体" w:hAnsi="宋体" w:cs="宋体"/>
          <w:sz w:val="24"/>
          <w:lang w:val="en-US" w:eastAsia="zh-CN"/>
        </w:rPr>
      </w:pPr>
      <w:r>
        <w:rPr>
          <w:rFonts w:hint="eastAsia" w:ascii="宋体" w:hAnsi="宋体" w:cs="宋体"/>
          <w:sz w:val="24"/>
          <w:lang w:val="en-US" w:eastAsia="zh-CN"/>
        </w:rPr>
        <w:t>2、</w:t>
      </w:r>
      <w:r>
        <w:rPr>
          <w:rFonts w:hint="eastAsia" w:ascii="宋体" w:hAnsi="宋体" w:cs="宋体"/>
          <w:sz w:val="24"/>
        </w:rPr>
        <w:t>报名方式：填写《20</w:t>
      </w:r>
      <w:r>
        <w:rPr>
          <w:rFonts w:hint="eastAsia" w:ascii="宋体" w:hAnsi="宋体" w:cs="宋体"/>
          <w:sz w:val="24"/>
          <w:lang w:val="en-US" w:eastAsia="zh-CN"/>
        </w:rPr>
        <w:t>25</w:t>
      </w:r>
      <w:r>
        <w:rPr>
          <w:rFonts w:hint="eastAsia" w:ascii="宋体" w:hAnsi="宋体" w:cs="宋体"/>
          <w:sz w:val="24"/>
        </w:rPr>
        <w:t>年管理学院团总支学生会干事竞选报名表》，详见附件一表格。纸质版报名表于9月</w:t>
      </w:r>
      <w:r>
        <w:rPr>
          <w:rFonts w:hint="eastAsia" w:ascii="宋体" w:hAnsi="宋体" w:cs="宋体"/>
          <w:sz w:val="24"/>
          <w:lang w:val="en-US" w:eastAsia="zh-CN"/>
        </w:rPr>
        <w:t>21</w:t>
      </w:r>
      <w:r>
        <w:rPr>
          <w:rFonts w:hint="eastAsia" w:ascii="宋体" w:hAnsi="宋体" w:cs="宋体"/>
          <w:sz w:val="24"/>
        </w:rPr>
        <w:t>日（周</w:t>
      </w:r>
      <w:r>
        <w:rPr>
          <w:rFonts w:hint="eastAsia" w:ascii="宋体" w:hAnsi="宋体" w:cs="宋体"/>
          <w:sz w:val="24"/>
          <w:lang w:val="en-US" w:eastAsia="zh-CN"/>
        </w:rPr>
        <w:t>日</w:t>
      </w:r>
      <w:r>
        <w:rPr>
          <w:rFonts w:hint="eastAsia" w:ascii="宋体" w:hAnsi="宋体" w:cs="宋体"/>
          <w:sz w:val="24"/>
        </w:rPr>
        <w:t>）晚上18:30-19:00，在6105教室上交至管理学院团总支学生会综合服务部部长</w:t>
      </w:r>
      <w:r>
        <w:rPr>
          <w:rFonts w:hint="eastAsia" w:ascii="宋体" w:hAnsi="宋体" w:cs="宋体"/>
          <w:sz w:val="24"/>
          <w:lang w:val="en-US" w:eastAsia="zh-CN"/>
        </w:rPr>
        <w:t>尹钰婷</w:t>
      </w:r>
      <w:r>
        <w:rPr>
          <w:rFonts w:hint="eastAsia" w:ascii="宋体" w:hAnsi="宋体" w:cs="宋体"/>
          <w:sz w:val="24"/>
        </w:rPr>
        <w:t>，电子版报名表</w:t>
      </w:r>
      <w:r>
        <w:rPr>
          <w:rFonts w:hint="eastAsia" w:ascii="宋体" w:hAnsi="宋体" w:cs="宋体"/>
          <w:sz w:val="24"/>
          <w:lang w:val="en-US" w:eastAsia="zh-CN"/>
        </w:rPr>
        <w:t>统一发送至班代</w:t>
      </w:r>
      <w:r>
        <w:rPr>
          <w:rFonts w:hint="eastAsia" w:ascii="宋体" w:hAnsi="宋体" w:cs="宋体"/>
          <w:sz w:val="24"/>
        </w:rPr>
        <w:t>，</w:t>
      </w:r>
      <w:r>
        <w:rPr>
          <w:rFonts w:hint="eastAsia" w:ascii="宋体" w:hAnsi="宋体" w:cs="宋体"/>
          <w:sz w:val="24"/>
          <w:lang w:val="en-US" w:eastAsia="zh-CN"/>
        </w:rPr>
        <w:t>班代收齐后统一发送给综合服务部部长尹钰婷1977740749@qq.com，</w:t>
      </w:r>
      <w:r>
        <w:rPr>
          <w:rFonts w:hint="eastAsia" w:ascii="宋体" w:hAnsi="宋体" w:cs="宋体"/>
          <w:sz w:val="24"/>
        </w:rPr>
        <w:t>报名表统一命名为：就读班级+本人姓名。</w:t>
      </w:r>
    </w:p>
    <w:p w14:paraId="5702C824">
      <w:pPr>
        <w:spacing w:line="480" w:lineRule="exact"/>
        <w:rPr>
          <w:rFonts w:hint="default" w:ascii="宋体" w:hAnsi="宋体" w:cs="宋体"/>
          <w:b/>
          <w:bCs/>
          <w:sz w:val="24"/>
          <w:lang w:val="en-US" w:eastAsia="zh-CN"/>
        </w:rPr>
      </w:pPr>
      <w:r>
        <w:rPr>
          <w:rFonts w:hint="eastAsia" w:ascii="宋体" w:hAnsi="宋体" w:cs="宋体"/>
          <w:b/>
          <w:bCs/>
          <w:sz w:val="24"/>
          <w:lang w:eastAsia="zh-CN"/>
        </w:rPr>
        <w:t>（</w:t>
      </w:r>
      <w:r>
        <w:rPr>
          <w:rFonts w:hint="eastAsia" w:ascii="宋体" w:hAnsi="宋体" w:cs="宋体"/>
          <w:b/>
          <w:bCs/>
          <w:sz w:val="24"/>
          <w:lang w:val="en-US" w:eastAsia="zh-CN"/>
        </w:rPr>
        <w:t>二</w:t>
      </w:r>
      <w:r>
        <w:rPr>
          <w:rFonts w:hint="eastAsia" w:ascii="宋体" w:hAnsi="宋体" w:cs="宋体"/>
          <w:b/>
          <w:bCs/>
          <w:sz w:val="24"/>
          <w:lang w:eastAsia="zh-CN"/>
        </w:rPr>
        <w:t>）</w:t>
      </w:r>
      <w:r>
        <w:rPr>
          <w:rFonts w:hint="eastAsia" w:ascii="宋体" w:hAnsi="宋体" w:cs="宋体"/>
          <w:b/>
          <w:bCs/>
          <w:sz w:val="24"/>
          <w:lang w:val="en-US" w:eastAsia="zh-CN"/>
        </w:rPr>
        <w:t>候选人面试</w:t>
      </w:r>
    </w:p>
    <w:p w14:paraId="56A5E924">
      <w:pPr>
        <w:spacing w:line="480" w:lineRule="exact"/>
        <w:ind w:firstLine="480" w:firstLineChars="200"/>
        <w:rPr>
          <w:rFonts w:hint="eastAsia" w:ascii="宋体" w:hAnsi="宋体" w:eastAsia="宋体" w:cs="宋体"/>
          <w:sz w:val="24"/>
          <w:lang w:val="en-US" w:eastAsia="zh-CN"/>
        </w:rPr>
      </w:pPr>
      <w:r>
        <w:rPr>
          <w:rFonts w:hint="eastAsia" w:ascii="宋体" w:hAnsi="宋体" w:cs="宋体"/>
          <w:sz w:val="24"/>
          <w:lang w:val="en-US" w:eastAsia="zh-CN"/>
        </w:rPr>
        <w:t>1、</w:t>
      </w:r>
      <w:r>
        <w:rPr>
          <w:rFonts w:hint="eastAsia" w:ascii="宋体" w:hAnsi="宋体" w:cs="宋体"/>
          <w:sz w:val="24"/>
        </w:rPr>
        <w:t>面试时间：</w:t>
      </w:r>
      <w:r>
        <w:rPr>
          <w:rFonts w:hint="eastAsia" w:ascii="宋体" w:hAnsi="宋体" w:cs="宋体"/>
          <w:sz w:val="24"/>
          <w:lang w:val="en-US" w:eastAsia="zh-CN"/>
        </w:rPr>
        <w:t>待定</w:t>
      </w:r>
    </w:p>
    <w:p w14:paraId="44BA6279">
      <w:pPr>
        <w:spacing w:line="480" w:lineRule="exact"/>
        <w:ind w:firstLine="480" w:firstLineChars="200"/>
        <w:rPr>
          <w:rFonts w:hint="default" w:ascii="宋体" w:hAnsi="宋体" w:eastAsia="宋体" w:cs="宋体"/>
          <w:sz w:val="24"/>
          <w:lang w:val="en-US" w:eastAsia="zh-CN"/>
        </w:rPr>
      </w:pPr>
      <w:r>
        <w:rPr>
          <w:rFonts w:hint="eastAsia" w:ascii="宋体" w:hAnsi="宋体" w:cs="宋体"/>
          <w:sz w:val="24"/>
          <w:lang w:val="en-US" w:eastAsia="zh-CN"/>
        </w:rPr>
        <w:t>2、面试地点：待定</w:t>
      </w:r>
    </w:p>
    <w:p w14:paraId="288E63E8">
      <w:pPr>
        <w:spacing w:line="480" w:lineRule="exact"/>
        <w:ind w:firstLine="480" w:firstLineChars="200"/>
        <w:rPr>
          <w:rFonts w:hint="default" w:ascii="宋体" w:hAnsi="宋体" w:cs="宋体"/>
          <w:sz w:val="24"/>
          <w:lang w:val="en-US" w:eastAsia="zh-CN"/>
        </w:rPr>
      </w:pPr>
      <w:r>
        <w:rPr>
          <w:rFonts w:hint="eastAsia" w:ascii="宋体" w:hAnsi="宋体" w:cs="宋体"/>
          <w:sz w:val="24"/>
          <w:lang w:val="en-US" w:eastAsia="zh-CN"/>
        </w:rPr>
        <w:t>3、</w:t>
      </w:r>
      <w:r>
        <w:rPr>
          <w:rFonts w:hint="eastAsia" w:ascii="宋体" w:hAnsi="宋体" w:cs="宋体"/>
          <w:sz w:val="24"/>
        </w:rPr>
        <w:t>面试方式</w:t>
      </w:r>
      <w:r>
        <w:rPr>
          <w:rFonts w:hint="eastAsia" w:ascii="宋体" w:hAnsi="宋体" w:cs="宋体"/>
          <w:sz w:val="24"/>
          <w:lang w:eastAsia="zh-CN"/>
        </w:rPr>
        <w:t>：对个人经历、个人竞争优势、应聘部门工作职能的理解和看法以及今后工作的设想等方面进行介绍，时间控制在3-5分钟。同时，采用半结构化面试（10分钟以内），主要考核个人形象、综合分析、逻辑思维、语言表达、灵活应变能力等。</w:t>
      </w:r>
    </w:p>
    <w:p w14:paraId="04B682EF">
      <w:pPr>
        <w:spacing w:line="480" w:lineRule="exact"/>
        <w:rPr>
          <w:rFonts w:ascii="宋体" w:hAnsi="宋体" w:cs="宋体"/>
          <w:b/>
          <w:bCs/>
          <w:sz w:val="24"/>
        </w:rPr>
      </w:pPr>
      <w:r>
        <w:rPr>
          <w:rFonts w:hint="eastAsia" w:ascii="宋体" w:hAnsi="宋体" w:cs="宋体"/>
          <w:b/>
          <w:bCs/>
          <w:sz w:val="24"/>
        </w:rPr>
        <w:t>（</w:t>
      </w:r>
      <w:r>
        <w:rPr>
          <w:rFonts w:hint="eastAsia" w:ascii="宋体" w:hAnsi="宋体" w:cs="宋体"/>
          <w:b/>
          <w:bCs/>
          <w:sz w:val="24"/>
          <w:lang w:val="en-US" w:eastAsia="zh-CN"/>
        </w:rPr>
        <w:t>三</w:t>
      </w:r>
      <w:r>
        <w:rPr>
          <w:rFonts w:hint="eastAsia" w:ascii="宋体" w:hAnsi="宋体" w:cs="宋体"/>
          <w:b/>
          <w:bCs/>
          <w:sz w:val="24"/>
        </w:rPr>
        <w:t>）结果公示与聘用</w:t>
      </w:r>
    </w:p>
    <w:p w14:paraId="36D9AC4F">
      <w:pPr>
        <w:spacing w:line="480" w:lineRule="exact"/>
        <w:ind w:firstLine="480" w:firstLineChars="200"/>
        <w:rPr>
          <w:rFonts w:hint="eastAsia" w:ascii="宋体" w:hAnsi="宋体" w:cs="宋体"/>
          <w:sz w:val="24"/>
        </w:rPr>
      </w:pPr>
      <w:r>
        <w:rPr>
          <w:rFonts w:hint="eastAsia" w:ascii="宋体" w:hAnsi="宋体" w:cs="宋体"/>
          <w:sz w:val="24"/>
          <w:lang w:val="en-US" w:eastAsia="zh-CN"/>
        </w:rPr>
        <w:t>根据面试情况择优录取</w:t>
      </w:r>
      <w:r>
        <w:rPr>
          <w:rFonts w:hint="eastAsia" w:ascii="宋体" w:hAnsi="宋体" w:cs="宋体"/>
          <w:sz w:val="24"/>
        </w:rPr>
        <w:t>，</w:t>
      </w:r>
      <w:r>
        <w:rPr>
          <w:rFonts w:hint="eastAsia" w:ascii="宋体" w:hAnsi="宋体" w:cs="宋体"/>
          <w:sz w:val="24"/>
          <w:lang w:val="en-US" w:eastAsia="zh-CN"/>
        </w:rPr>
        <w:t>在管院风彩微信公众号进行公示无异议后聘用</w:t>
      </w:r>
      <w:r>
        <w:rPr>
          <w:rFonts w:hint="eastAsia" w:ascii="宋体" w:hAnsi="宋体" w:cs="宋体"/>
          <w:sz w:val="24"/>
        </w:rPr>
        <w:t>。</w:t>
      </w:r>
    </w:p>
    <w:p w14:paraId="7EB2EC79">
      <w:pPr>
        <w:numPr>
          <w:ilvl w:val="0"/>
          <w:numId w:val="0"/>
        </w:numPr>
        <w:spacing w:line="480" w:lineRule="exact"/>
        <w:rPr>
          <w:rFonts w:hint="eastAsia" w:ascii="宋体" w:hAnsi="宋体" w:cs="宋体"/>
          <w:b/>
          <w:bCs/>
          <w:sz w:val="24"/>
        </w:rPr>
      </w:pPr>
    </w:p>
    <w:p w14:paraId="230601C3">
      <w:pPr>
        <w:numPr>
          <w:ilvl w:val="0"/>
          <w:numId w:val="0"/>
        </w:numPr>
        <w:spacing w:line="480" w:lineRule="exact"/>
        <w:rPr>
          <w:rFonts w:hint="eastAsia" w:ascii="宋体" w:hAnsi="宋体" w:cs="宋体"/>
          <w:b/>
          <w:bCs/>
          <w:sz w:val="24"/>
        </w:rPr>
      </w:pPr>
    </w:p>
    <w:p w14:paraId="34CC4A30">
      <w:pPr>
        <w:numPr>
          <w:ilvl w:val="0"/>
          <w:numId w:val="0"/>
        </w:numPr>
        <w:spacing w:line="480" w:lineRule="exact"/>
        <w:rPr>
          <w:rFonts w:hint="eastAsia" w:ascii="宋体" w:hAnsi="宋体" w:cs="宋体"/>
          <w:b/>
          <w:bCs/>
          <w:sz w:val="24"/>
        </w:rPr>
      </w:pPr>
    </w:p>
    <w:p w14:paraId="5594F588">
      <w:pPr>
        <w:keepNext w:val="0"/>
        <w:keepLines w:val="0"/>
        <w:pageBreakBefore w:val="0"/>
        <w:widowControl w:val="0"/>
        <w:kinsoku/>
        <w:wordWrap w:val="0"/>
        <w:overflowPunct/>
        <w:topLinePunct w:val="0"/>
        <w:autoSpaceDE/>
        <w:autoSpaceDN/>
        <w:bidi w:val="0"/>
        <w:adjustRightInd/>
        <w:snapToGrid/>
        <w:spacing w:line="480" w:lineRule="exact"/>
        <w:ind w:right="0" w:rightChars="0" w:firstLine="0" w:firstLineChars="0"/>
        <w:jc w:val="right"/>
        <w:textAlignment w:val="auto"/>
        <w:rPr>
          <w:rFonts w:hint="eastAsia" w:ascii="宋体" w:hAnsi="宋体" w:cs="宋体"/>
          <w:sz w:val="24"/>
          <w:lang w:val="en-US" w:eastAsia="zh-CN"/>
        </w:rPr>
      </w:pPr>
      <w:r>
        <w:rPr>
          <w:rFonts w:hint="eastAsia" w:ascii="宋体" w:hAnsi="宋体" w:cs="宋体"/>
          <w:sz w:val="24"/>
          <w:lang w:val="en-US" w:eastAsia="zh-CN"/>
        </w:rPr>
        <w:t>管理学院</w:t>
      </w:r>
      <w:r>
        <w:rPr>
          <w:rFonts w:hint="eastAsia" w:ascii="宋体" w:hAnsi="宋体" w:cs="宋体"/>
          <w:sz w:val="24"/>
        </w:rPr>
        <w:t>团总支</w:t>
      </w:r>
      <w:r>
        <w:rPr>
          <w:rFonts w:hint="eastAsia" w:ascii="宋体" w:hAnsi="宋体" w:cs="宋体"/>
          <w:sz w:val="24"/>
          <w:lang w:val="en-US" w:eastAsia="zh-CN"/>
        </w:rPr>
        <w:t>学生会</w:t>
      </w:r>
    </w:p>
    <w:p w14:paraId="4FF3B872">
      <w:pPr>
        <w:keepNext w:val="0"/>
        <w:keepLines w:val="0"/>
        <w:pageBreakBefore w:val="0"/>
        <w:widowControl w:val="0"/>
        <w:kinsoku/>
        <w:wordWrap w:val="0"/>
        <w:overflowPunct/>
        <w:topLinePunct w:val="0"/>
        <w:autoSpaceDE/>
        <w:autoSpaceDN/>
        <w:bidi w:val="0"/>
        <w:adjustRightInd/>
        <w:snapToGrid/>
        <w:spacing w:line="480" w:lineRule="exact"/>
        <w:ind w:right="0" w:rightChars="0" w:firstLine="0" w:firstLineChars="0"/>
        <w:jc w:val="right"/>
        <w:textAlignment w:val="auto"/>
        <w:rPr>
          <w:rFonts w:ascii="宋体" w:hAnsi="宋体" w:cs="宋体"/>
          <w:sz w:val="24"/>
        </w:rPr>
      </w:pPr>
      <w:r>
        <w:rPr>
          <w:rFonts w:hint="eastAsia" w:ascii="宋体" w:hAnsi="宋体" w:cs="宋体"/>
          <w:sz w:val="24"/>
        </w:rPr>
        <w:t>二〇二</w:t>
      </w:r>
      <w:r>
        <w:rPr>
          <w:rFonts w:hint="eastAsia" w:ascii="宋体" w:hAnsi="宋体" w:cs="宋体"/>
          <w:sz w:val="24"/>
          <w:lang w:val="en-US" w:eastAsia="zh-CN"/>
        </w:rPr>
        <w:t>五</w:t>
      </w:r>
      <w:r>
        <w:rPr>
          <w:rFonts w:hint="eastAsia" w:ascii="宋体" w:hAnsi="宋体" w:cs="宋体"/>
          <w:sz w:val="24"/>
        </w:rPr>
        <w:t>年</w:t>
      </w:r>
      <w:r>
        <w:rPr>
          <w:rFonts w:hint="eastAsia" w:ascii="宋体" w:hAnsi="宋体" w:cs="宋体"/>
          <w:sz w:val="24"/>
          <w:lang w:val="en-US" w:eastAsia="zh-CN"/>
        </w:rPr>
        <w:t>九</w:t>
      </w:r>
      <w:r>
        <w:rPr>
          <w:rFonts w:hint="eastAsia" w:ascii="宋体" w:hAnsi="宋体" w:cs="宋体"/>
          <w:sz w:val="24"/>
        </w:rPr>
        <w:t>月</w:t>
      </w:r>
      <w:r>
        <w:rPr>
          <w:rFonts w:hint="eastAsia" w:ascii="宋体" w:hAnsi="宋体" w:cs="宋体"/>
          <w:sz w:val="24"/>
          <w:lang w:val="en-US" w:eastAsia="zh-CN"/>
        </w:rPr>
        <w:t>十五</w:t>
      </w:r>
      <w:r>
        <w:rPr>
          <w:rFonts w:hint="eastAsia" w:ascii="宋体" w:hAnsi="宋体" w:cs="宋体"/>
          <w:sz w:val="24"/>
        </w:rPr>
        <w:t>日</w:t>
      </w:r>
    </w:p>
    <w:p w14:paraId="294A0098">
      <w:pPr>
        <w:spacing w:line="480" w:lineRule="exact"/>
        <w:ind w:firstLine="5040" w:firstLineChars="2100"/>
        <w:jc w:val="left"/>
        <w:rPr>
          <w:rFonts w:hint="eastAsia" w:ascii="宋体" w:hAnsi="宋体" w:cs="宋体"/>
          <w:sz w:val="24"/>
        </w:rPr>
      </w:pPr>
      <w:bookmarkStart w:id="0" w:name="_GoBack"/>
      <w:bookmarkEnd w:id="0"/>
    </w:p>
    <w:p w14:paraId="163BBFC2">
      <w:pPr>
        <w:spacing w:line="480" w:lineRule="exact"/>
        <w:ind w:firstLine="5040" w:firstLineChars="2100"/>
        <w:jc w:val="left"/>
        <w:rPr>
          <w:rFonts w:ascii="宋体" w:hAnsi="宋体" w:cs="宋体"/>
          <w:sz w:val="24"/>
        </w:rPr>
        <w:sectPr>
          <w:pgSz w:w="11906" w:h="16838"/>
          <w:pgMar w:top="1440" w:right="1800" w:bottom="1440" w:left="1800" w:header="851" w:footer="992" w:gutter="0"/>
          <w:cols w:space="720" w:num="1"/>
          <w:docGrid w:type="lines" w:linePitch="312" w:charSpace="0"/>
        </w:sectPr>
      </w:pPr>
    </w:p>
    <w:p w14:paraId="65E77976">
      <w:pPr>
        <w:spacing w:before="156" w:after="156"/>
        <w:jc w:val="left"/>
        <w:rPr>
          <w:rFonts w:hint="eastAsia" w:ascii="宋体" w:hAnsi="宋体" w:eastAsia="宋体"/>
          <w:b/>
          <w:sz w:val="36"/>
          <w:lang w:val="en-US" w:eastAsia="zh-CN"/>
        </w:rPr>
      </w:pPr>
      <w:r>
        <w:rPr>
          <w:rFonts w:hint="eastAsia" w:ascii="宋体" w:hAnsi="宋体" w:eastAsia="宋体"/>
          <w:b/>
          <w:sz w:val="36"/>
          <w:lang w:val="en-US" w:eastAsia="zh-CN"/>
        </w:rPr>
        <w:t>附件一</w:t>
      </w:r>
    </w:p>
    <w:p w14:paraId="53F55A7C">
      <w:pPr>
        <w:spacing w:before="156" w:after="156"/>
        <w:jc w:val="center"/>
        <w:rPr>
          <w:rFonts w:ascii="宋体" w:hAnsi="宋体"/>
          <w:b/>
          <w:sz w:val="36"/>
        </w:rPr>
      </w:pPr>
      <w:r>
        <w:rPr>
          <w:rFonts w:hint="eastAsia" w:ascii="宋体" w:hAnsi="宋体"/>
          <w:b/>
          <w:sz w:val="36"/>
        </w:rPr>
        <w:t>管理学院团总支学生会202</w:t>
      </w:r>
      <w:r>
        <w:rPr>
          <w:rFonts w:hint="eastAsia" w:ascii="宋体" w:hAnsi="宋体"/>
          <w:b/>
          <w:sz w:val="36"/>
          <w:lang w:val="en-US" w:eastAsia="zh-CN"/>
        </w:rPr>
        <w:t>5</w:t>
      </w:r>
      <w:r>
        <w:rPr>
          <w:rFonts w:hint="eastAsia" w:ascii="宋体" w:hAnsi="宋体"/>
          <w:b/>
          <w:sz w:val="36"/>
        </w:rPr>
        <w:t>年干事竞选报名表</w:t>
      </w:r>
    </w:p>
    <w:tbl>
      <w:tblPr>
        <w:tblStyle w:val="6"/>
        <w:tblW w:w="4997" w:type="pct"/>
        <w:jc w:val="center"/>
        <w:tblLayout w:type="autofit"/>
        <w:tblCellMar>
          <w:top w:w="0" w:type="dxa"/>
          <w:left w:w="108" w:type="dxa"/>
          <w:bottom w:w="0" w:type="dxa"/>
          <w:right w:w="108" w:type="dxa"/>
        </w:tblCellMar>
      </w:tblPr>
      <w:tblGrid>
        <w:gridCol w:w="1034"/>
        <w:gridCol w:w="1260"/>
        <w:gridCol w:w="960"/>
        <w:gridCol w:w="1236"/>
        <w:gridCol w:w="1366"/>
        <w:gridCol w:w="1370"/>
        <w:gridCol w:w="1915"/>
      </w:tblGrid>
      <w:tr w14:paraId="25EC205A">
        <w:tblPrEx>
          <w:tblCellMar>
            <w:top w:w="0" w:type="dxa"/>
            <w:left w:w="108" w:type="dxa"/>
            <w:bottom w:w="0" w:type="dxa"/>
            <w:right w:w="108" w:type="dxa"/>
          </w:tblCellMar>
        </w:tblPrEx>
        <w:trPr>
          <w:trHeight w:val="533" w:hRule="atLeast"/>
          <w:jc w:val="center"/>
        </w:trPr>
        <w:tc>
          <w:tcPr>
            <w:tcW w:w="56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8B9445">
            <w:pPr>
              <w:widowControl/>
              <w:spacing w:line="240" w:lineRule="auto"/>
              <w:jc w:val="center"/>
              <w:rPr>
                <w:rFonts w:cs="宋体"/>
                <w:color w:val="000000"/>
                <w:kern w:val="0"/>
                <w:szCs w:val="24"/>
              </w:rPr>
            </w:pPr>
            <w:r>
              <w:rPr>
                <w:rFonts w:hint="eastAsia" w:cs="宋体"/>
                <w:color w:val="000000"/>
                <w:kern w:val="0"/>
                <w:szCs w:val="24"/>
              </w:rPr>
              <w:t>姓名</w:t>
            </w:r>
          </w:p>
        </w:tc>
        <w:tc>
          <w:tcPr>
            <w:tcW w:w="689" w:type="pct"/>
            <w:tcBorders>
              <w:top w:val="single" w:color="auto" w:sz="4" w:space="0"/>
              <w:left w:val="nil"/>
              <w:bottom w:val="single" w:color="auto" w:sz="4" w:space="0"/>
              <w:right w:val="single" w:color="auto" w:sz="4" w:space="0"/>
            </w:tcBorders>
            <w:shd w:val="clear" w:color="auto" w:fill="auto"/>
            <w:noWrap/>
            <w:vAlign w:val="center"/>
          </w:tcPr>
          <w:p w14:paraId="423D5E2B">
            <w:pPr>
              <w:widowControl/>
              <w:spacing w:line="240" w:lineRule="auto"/>
              <w:jc w:val="center"/>
              <w:rPr>
                <w:rFonts w:cs="宋体"/>
                <w:color w:val="000000"/>
                <w:kern w:val="0"/>
              </w:rPr>
            </w:pPr>
          </w:p>
        </w:tc>
        <w:tc>
          <w:tcPr>
            <w:tcW w:w="525" w:type="pct"/>
            <w:tcBorders>
              <w:top w:val="single" w:color="auto" w:sz="4" w:space="0"/>
              <w:left w:val="nil"/>
              <w:bottom w:val="single" w:color="auto" w:sz="4" w:space="0"/>
              <w:right w:val="single" w:color="auto" w:sz="4" w:space="0"/>
            </w:tcBorders>
            <w:shd w:val="clear" w:color="auto" w:fill="auto"/>
            <w:noWrap/>
            <w:vAlign w:val="center"/>
          </w:tcPr>
          <w:p w14:paraId="33063782">
            <w:pPr>
              <w:widowControl/>
              <w:spacing w:line="240" w:lineRule="auto"/>
              <w:jc w:val="center"/>
              <w:rPr>
                <w:rFonts w:cs="宋体"/>
                <w:color w:val="000000"/>
                <w:kern w:val="0"/>
              </w:rPr>
            </w:pPr>
            <w:r>
              <w:rPr>
                <w:rFonts w:hint="eastAsia" w:cs="宋体"/>
                <w:color w:val="000000"/>
                <w:kern w:val="0"/>
              </w:rPr>
              <w:t>性别</w:t>
            </w:r>
          </w:p>
        </w:tc>
        <w:tc>
          <w:tcPr>
            <w:tcW w:w="676" w:type="pct"/>
            <w:tcBorders>
              <w:top w:val="single" w:color="auto" w:sz="4" w:space="0"/>
              <w:left w:val="nil"/>
              <w:bottom w:val="single" w:color="auto" w:sz="4" w:space="0"/>
              <w:right w:val="single" w:color="auto" w:sz="4" w:space="0"/>
            </w:tcBorders>
            <w:shd w:val="clear" w:color="auto" w:fill="auto"/>
            <w:noWrap/>
            <w:vAlign w:val="center"/>
          </w:tcPr>
          <w:p w14:paraId="09096207">
            <w:pPr>
              <w:widowControl/>
              <w:spacing w:line="240" w:lineRule="auto"/>
              <w:jc w:val="center"/>
              <w:rPr>
                <w:rFonts w:cs="宋体"/>
                <w:color w:val="000000"/>
                <w:kern w:val="0"/>
              </w:rPr>
            </w:pPr>
          </w:p>
        </w:tc>
        <w:tc>
          <w:tcPr>
            <w:tcW w:w="747" w:type="pct"/>
            <w:tcBorders>
              <w:top w:val="single" w:color="auto" w:sz="4" w:space="0"/>
              <w:left w:val="nil"/>
              <w:bottom w:val="single" w:color="auto" w:sz="4" w:space="0"/>
              <w:right w:val="nil"/>
            </w:tcBorders>
            <w:shd w:val="clear" w:color="auto" w:fill="auto"/>
            <w:noWrap/>
            <w:vAlign w:val="center"/>
          </w:tcPr>
          <w:p w14:paraId="15F82466">
            <w:pPr>
              <w:widowControl/>
              <w:spacing w:line="240" w:lineRule="auto"/>
              <w:jc w:val="center"/>
              <w:rPr>
                <w:rFonts w:cs="宋体"/>
                <w:color w:val="000000"/>
                <w:kern w:val="0"/>
              </w:rPr>
            </w:pPr>
            <w:r>
              <w:rPr>
                <w:rFonts w:hint="eastAsia" w:cs="宋体"/>
                <w:color w:val="000000"/>
                <w:kern w:val="0"/>
              </w:rPr>
              <w:t>出生年月</w:t>
            </w:r>
          </w:p>
        </w:tc>
        <w:tc>
          <w:tcPr>
            <w:tcW w:w="749" w:type="pct"/>
            <w:tcBorders>
              <w:top w:val="single" w:color="auto" w:sz="4" w:space="0"/>
              <w:left w:val="single" w:color="auto" w:sz="4" w:space="0"/>
              <w:bottom w:val="single" w:color="auto" w:sz="4" w:space="0"/>
              <w:right w:val="nil"/>
            </w:tcBorders>
            <w:shd w:val="clear" w:color="auto" w:fill="auto"/>
            <w:noWrap/>
            <w:vAlign w:val="center"/>
          </w:tcPr>
          <w:p w14:paraId="1626C0A9">
            <w:pPr>
              <w:widowControl/>
              <w:spacing w:line="240" w:lineRule="auto"/>
              <w:jc w:val="center"/>
              <w:rPr>
                <w:rFonts w:cs="宋体"/>
                <w:color w:val="000000"/>
                <w:kern w:val="0"/>
              </w:rPr>
            </w:pPr>
          </w:p>
        </w:tc>
        <w:tc>
          <w:tcPr>
            <w:tcW w:w="104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A86C8F0">
            <w:pPr>
              <w:widowControl/>
              <w:spacing w:before="312" w:beforeLines="100" w:after="312" w:afterLines="100" w:line="240" w:lineRule="auto"/>
              <w:jc w:val="center"/>
              <w:rPr>
                <w:rFonts w:cs="宋体"/>
                <w:color w:val="000000"/>
                <w:kern w:val="0"/>
              </w:rPr>
            </w:pPr>
            <w:r>
              <w:rPr>
                <w:rFonts w:hint="eastAsia" w:cs="宋体"/>
                <w:color w:val="000000"/>
                <w:kern w:val="0"/>
              </w:rPr>
              <w:t>照</w:t>
            </w:r>
          </w:p>
          <w:p w14:paraId="45C79FD8">
            <w:pPr>
              <w:widowControl/>
              <w:spacing w:before="312" w:beforeLines="100" w:after="312" w:afterLines="100" w:line="240" w:lineRule="auto"/>
              <w:jc w:val="center"/>
              <w:rPr>
                <w:rFonts w:cs="宋体"/>
                <w:color w:val="000000"/>
                <w:kern w:val="0"/>
              </w:rPr>
            </w:pPr>
            <w:r>
              <w:rPr>
                <w:rFonts w:hint="eastAsia" w:cs="宋体"/>
                <w:color w:val="000000"/>
                <w:kern w:val="0"/>
              </w:rPr>
              <w:t>片</w:t>
            </w:r>
          </w:p>
        </w:tc>
      </w:tr>
      <w:tr w14:paraId="2DE10356">
        <w:tblPrEx>
          <w:tblCellMar>
            <w:top w:w="0" w:type="dxa"/>
            <w:left w:w="108" w:type="dxa"/>
            <w:bottom w:w="0" w:type="dxa"/>
            <w:right w:w="108" w:type="dxa"/>
          </w:tblCellMar>
        </w:tblPrEx>
        <w:trPr>
          <w:trHeight w:val="533" w:hRule="atLeast"/>
          <w:jc w:val="center"/>
        </w:trPr>
        <w:tc>
          <w:tcPr>
            <w:tcW w:w="566" w:type="pct"/>
            <w:tcBorders>
              <w:top w:val="nil"/>
              <w:left w:val="single" w:color="auto" w:sz="4" w:space="0"/>
              <w:bottom w:val="single" w:color="auto" w:sz="4" w:space="0"/>
              <w:right w:val="single" w:color="auto" w:sz="4" w:space="0"/>
            </w:tcBorders>
            <w:shd w:val="clear" w:color="auto" w:fill="auto"/>
            <w:noWrap/>
            <w:vAlign w:val="center"/>
          </w:tcPr>
          <w:p w14:paraId="0F0313C6">
            <w:pPr>
              <w:widowControl/>
              <w:spacing w:line="240" w:lineRule="auto"/>
              <w:jc w:val="center"/>
              <w:rPr>
                <w:rFonts w:cs="宋体"/>
                <w:color w:val="000000"/>
                <w:kern w:val="0"/>
              </w:rPr>
            </w:pPr>
            <w:r>
              <w:rPr>
                <w:rFonts w:hint="eastAsia" w:cs="宋体"/>
                <w:color w:val="000000"/>
                <w:kern w:val="0"/>
              </w:rPr>
              <w:t>政治</w:t>
            </w:r>
          </w:p>
          <w:p w14:paraId="10222B6D">
            <w:pPr>
              <w:widowControl/>
              <w:spacing w:line="240" w:lineRule="auto"/>
              <w:jc w:val="center"/>
              <w:rPr>
                <w:rFonts w:cs="宋体"/>
                <w:color w:val="000000"/>
                <w:kern w:val="0"/>
              </w:rPr>
            </w:pPr>
            <w:r>
              <w:rPr>
                <w:rFonts w:hint="eastAsia" w:cs="宋体"/>
                <w:color w:val="000000"/>
                <w:kern w:val="0"/>
              </w:rPr>
              <w:t>面貌</w:t>
            </w:r>
          </w:p>
        </w:tc>
        <w:tc>
          <w:tcPr>
            <w:tcW w:w="689" w:type="pct"/>
            <w:tcBorders>
              <w:top w:val="nil"/>
              <w:left w:val="nil"/>
              <w:bottom w:val="single" w:color="auto" w:sz="4" w:space="0"/>
              <w:right w:val="single" w:color="auto" w:sz="4" w:space="0"/>
            </w:tcBorders>
            <w:shd w:val="clear" w:color="auto" w:fill="auto"/>
            <w:noWrap/>
            <w:vAlign w:val="center"/>
          </w:tcPr>
          <w:p w14:paraId="515B4BDA">
            <w:pPr>
              <w:widowControl/>
              <w:spacing w:line="240" w:lineRule="auto"/>
              <w:jc w:val="center"/>
              <w:rPr>
                <w:rFonts w:cs="宋体"/>
                <w:color w:val="000000"/>
                <w:kern w:val="0"/>
              </w:rPr>
            </w:pPr>
          </w:p>
        </w:tc>
        <w:tc>
          <w:tcPr>
            <w:tcW w:w="525" w:type="pct"/>
            <w:tcBorders>
              <w:top w:val="nil"/>
              <w:left w:val="nil"/>
              <w:bottom w:val="single" w:color="auto" w:sz="4" w:space="0"/>
              <w:right w:val="single" w:color="auto" w:sz="4" w:space="0"/>
            </w:tcBorders>
            <w:shd w:val="clear" w:color="auto" w:fill="auto"/>
            <w:noWrap/>
            <w:vAlign w:val="center"/>
          </w:tcPr>
          <w:p w14:paraId="22FC36E7">
            <w:pPr>
              <w:widowControl/>
              <w:spacing w:line="240" w:lineRule="auto"/>
              <w:jc w:val="center"/>
              <w:rPr>
                <w:rFonts w:cs="宋体"/>
                <w:color w:val="000000"/>
                <w:kern w:val="0"/>
              </w:rPr>
            </w:pPr>
            <w:r>
              <w:rPr>
                <w:rFonts w:hint="eastAsia" w:cs="宋体"/>
                <w:color w:val="000000"/>
                <w:kern w:val="0"/>
              </w:rPr>
              <w:t>籍贯</w:t>
            </w:r>
          </w:p>
        </w:tc>
        <w:tc>
          <w:tcPr>
            <w:tcW w:w="676" w:type="pct"/>
            <w:tcBorders>
              <w:top w:val="nil"/>
              <w:left w:val="nil"/>
              <w:bottom w:val="single" w:color="auto" w:sz="4" w:space="0"/>
              <w:right w:val="single" w:color="auto" w:sz="4" w:space="0"/>
            </w:tcBorders>
            <w:shd w:val="clear" w:color="auto" w:fill="auto"/>
            <w:noWrap/>
            <w:vAlign w:val="center"/>
          </w:tcPr>
          <w:p w14:paraId="401FAF7F">
            <w:pPr>
              <w:widowControl/>
              <w:spacing w:line="240" w:lineRule="auto"/>
              <w:jc w:val="center"/>
              <w:rPr>
                <w:rFonts w:cs="宋体"/>
                <w:color w:val="000000"/>
                <w:kern w:val="0"/>
              </w:rPr>
            </w:pPr>
          </w:p>
        </w:tc>
        <w:tc>
          <w:tcPr>
            <w:tcW w:w="747" w:type="pct"/>
            <w:tcBorders>
              <w:top w:val="nil"/>
              <w:left w:val="nil"/>
              <w:bottom w:val="single" w:color="auto" w:sz="4" w:space="0"/>
              <w:right w:val="nil"/>
            </w:tcBorders>
            <w:shd w:val="clear" w:color="auto" w:fill="auto"/>
            <w:noWrap/>
            <w:vAlign w:val="center"/>
          </w:tcPr>
          <w:p w14:paraId="1C7BA33C">
            <w:pPr>
              <w:widowControl/>
              <w:spacing w:line="240" w:lineRule="auto"/>
              <w:jc w:val="center"/>
              <w:rPr>
                <w:rFonts w:cs="宋体"/>
                <w:color w:val="000000"/>
                <w:kern w:val="0"/>
              </w:rPr>
            </w:pPr>
            <w:r>
              <w:rPr>
                <w:rFonts w:hint="eastAsia" w:cs="宋体"/>
                <w:color w:val="000000"/>
                <w:kern w:val="0"/>
              </w:rPr>
              <w:t>民族</w:t>
            </w:r>
          </w:p>
        </w:tc>
        <w:tc>
          <w:tcPr>
            <w:tcW w:w="749" w:type="pct"/>
            <w:tcBorders>
              <w:top w:val="nil"/>
              <w:left w:val="single" w:color="auto" w:sz="4" w:space="0"/>
              <w:bottom w:val="single" w:color="auto" w:sz="4" w:space="0"/>
              <w:right w:val="nil"/>
            </w:tcBorders>
            <w:shd w:val="clear" w:color="auto" w:fill="auto"/>
            <w:noWrap/>
            <w:vAlign w:val="center"/>
          </w:tcPr>
          <w:p w14:paraId="4EDECDFD">
            <w:pPr>
              <w:widowControl/>
              <w:spacing w:line="240" w:lineRule="auto"/>
              <w:jc w:val="center"/>
              <w:rPr>
                <w:rFonts w:cs="宋体"/>
                <w:color w:val="000000"/>
                <w:kern w:val="0"/>
              </w:rPr>
            </w:pPr>
          </w:p>
        </w:tc>
        <w:tc>
          <w:tcPr>
            <w:tcW w:w="1046" w:type="pct"/>
            <w:vMerge w:val="continue"/>
            <w:tcBorders>
              <w:top w:val="single" w:color="auto" w:sz="4" w:space="0"/>
              <w:left w:val="single" w:color="auto" w:sz="4" w:space="0"/>
              <w:bottom w:val="single" w:color="auto" w:sz="4" w:space="0"/>
              <w:right w:val="single" w:color="auto" w:sz="4" w:space="0"/>
            </w:tcBorders>
            <w:vAlign w:val="center"/>
          </w:tcPr>
          <w:p w14:paraId="3802D4A6">
            <w:pPr>
              <w:widowControl/>
              <w:spacing w:line="240" w:lineRule="auto"/>
              <w:jc w:val="center"/>
              <w:rPr>
                <w:rFonts w:cs="宋体"/>
                <w:color w:val="000000"/>
                <w:kern w:val="0"/>
              </w:rPr>
            </w:pPr>
          </w:p>
        </w:tc>
      </w:tr>
      <w:tr w14:paraId="0D7DEE30">
        <w:tblPrEx>
          <w:tblCellMar>
            <w:top w:w="0" w:type="dxa"/>
            <w:left w:w="108" w:type="dxa"/>
            <w:bottom w:w="0" w:type="dxa"/>
            <w:right w:w="108" w:type="dxa"/>
          </w:tblCellMar>
        </w:tblPrEx>
        <w:trPr>
          <w:trHeight w:val="533" w:hRule="atLeast"/>
          <w:jc w:val="center"/>
        </w:trPr>
        <w:tc>
          <w:tcPr>
            <w:tcW w:w="566" w:type="pct"/>
            <w:tcBorders>
              <w:top w:val="nil"/>
              <w:left w:val="single" w:color="auto" w:sz="4" w:space="0"/>
              <w:bottom w:val="single" w:color="auto" w:sz="4" w:space="0"/>
              <w:right w:val="single" w:color="auto" w:sz="4" w:space="0"/>
            </w:tcBorders>
            <w:shd w:val="clear" w:color="auto" w:fill="auto"/>
            <w:noWrap/>
            <w:vAlign w:val="center"/>
          </w:tcPr>
          <w:p w14:paraId="38F035B9">
            <w:pPr>
              <w:widowControl/>
              <w:spacing w:line="240" w:lineRule="auto"/>
              <w:jc w:val="center"/>
              <w:rPr>
                <w:rFonts w:cs="宋体"/>
                <w:color w:val="000000"/>
                <w:kern w:val="0"/>
              </w:rPr>
            </w:pPr>
            <w:r>
              <w:rPr>
                <w:rFonts w:hint="eastAsia" w:cs="宋体"/>
                <w:color w:val="000000"/>
                <w:kern w:val="0"/>
              </w:rPr>
              <w:t>学号</w:t>
            </w:r>
          </w:p>
        </w:tc>
        <w:tc>
          <w:tcPr>
            <w:tcW w:w="689" w:type="pct"/>
            <w:tcBorders>
              <w:top w:val="nil"/>
              <w:left w:val="nil"/>
              <w:bottom w:val="single" w:color="auto" w:sz="4" w:space="0"/>
              <w:right w:val="single" w:color="auto" w:sz="4" w:space="0"/>
            </w:tcBorders>
            <w:shd w:val="clear" w:color="auto" w:fill="auto"/>
            <w:noWrap/>
            <w:vAlign w:val="center"/>
          </w:tcPr>
          <w:p w14:paraId="280DC2FE">
            <w:pPr>
              <w:widowControl/>
              <w:spacing w:line="240" w:lineRule="auto"/>
              <w:jc w:val="center"/>
              <w:rPr>
                <w:rFonts w:cs="宋体"/>
                <w:color w:val="000000"/>
                <w:kern w:val="0"/>
              </w:rPr>
            </w:pPr>
          </w:p>
        </w:tc>
        <w:tc>
          <w:tcPr>
            <w:tcW w:w="525" w:type="pct"/>
            <w:tcBorders>
              <w:top w:val="nil"/>
              <w:left w:val="nil"/>
              <w:bottom w:val="single" w:color="auto" w:sz="4" w:space="0"/>
              <w:right w:val="single" w:color="auto" w:sz="4" w:space="0"/>
            </w:tcBorders>
            <w:shd w:val="clear" w:color="auto" w:fill="auto"/>
            <w:noWrap/>
            <w:vAlign w:val="center"/>
          </w:tcPr>
          <w:p w14:paraId="2DA66E38">
            <w:pPr>
              <w:widowControl/>
              <w:spacing w:line="240" w:lineRule="auto"/>
              <w:jc w:val="center"/>
              <w:rPr>
                <w:rFonts w:cs="宋体"/>
                <w:color w:val="000000"/>
                <w:kern w:val="0"/>
              </w:rPr>
            </w:pPr>
            <w:r>
              <w:rPr>
                <w:rFonts w:hint="eastAsia" w:cs="宋体"/>
                <w:color w:val="000000"/>
                <w:kern w:val="0"/>
              </w:rPr>
              <w:t>专业</w:t>
            </w:r>
          </w:p>
          <w:p w14:paraId="2B141D99">
            <w:pPr>
              <w:widowControl/>
              <w:spacing w:line="240" w:lineRule="auto"/>
              <w:jc w:val="center"/>
              <w:rPr>
                <w:rFonts w:cs="宋体"/>
                <w:color w:val="000000"/>
                <w:kern w:val="0"/>
              </w:rPr>
            </w:pPr>
            <w:r>
              <w:rPr>
                <w:rFonts w:hint="eastAsia" w:cs="宋体"/>
                <w:color w:val="000000"/>
                <w:kern w:val="0"/>
              </w:rPr>
              <w:t>班级</w:t>
            </w:r>
          </w:p>
        </w:tc>
        <w:tc>
          <w:tcPr>
            <w:tcW w:w="2172" w:type="pct"/>
            <w:gridSpan w:val="3"/>
            <w:tcBorders>
              <w:top w:val="single" w:color="auto" w:sz="4" w:space="0"/>
              <w:left w:val="nil"/>
              <w:bottom w:val="single" w:color="auto" w:sz="4" w:space="0"/>
              <w:right w:val="single" w:color="000000" w:sz="4" w:space="0"/>
            </w:tcBorders>
            <w:shd w:val="clear" w:color="auto" w:fill="auto"/>
            <w:noWrap/>
            <w:vAlign w:val="center"/>
          </w:tcPr>
          <w:p w14:paraId="7BE7BDEC">
            <w:pPr>
              <w:widowControl/>
              <w:spacing w:line="240" w:lineRule="auto"/>
              <w:jc w:val="center"/>
              <w:rPr>
                <w:rFonts w:cs="宋体"/>
                <w:color w:val="000000"/>
                <w:kern w:val="0"/>
              </w:rPr>
            </w:pPr>
          </w:p>
        </w:tc>
        <w:tc>
          <w:tcPr>
            <w:tcW w:w="1046" w:type="pct"/>
            <w:vMerge w:val="continue"/>
            <w:tcBorders>
              <w:top w:val="single" w:color="auto" w:sz="4" w:space="0"/>
              <w:left w:val="single" w:color="auto" w:sz="4" w:space="0"/>
              <w:bottom w:val="single" w:color="auto" w:sz="4" w:space="0"/>
              <w:right w:val="single" w:color="auto" w:sz="4" w:space="0"/>
            </w:tcBorders>
            <w:vAlign w:val="center"/>
          </w:tcPr>
          <w:p w14:paraId="6C089BF8">
            <w:pPr>
              <w:widowControl/>
              <w:spacing w:line="240" w:lineRule="auto"/>
              <w:jc w:val="center"/>
              <w:rPr>
                <w:rFonts w:cs="宋体"/>
                <w:color w:val="000000"/>
                <w:kern w:val="0"/>
              </w:rPr>
            </w:pPr>
          </w:p>
        </w:tc>
      </w:tr>
      <w:tr w14:paraId="28946404">
        <w:tblPrEx>
          <w:tblCellMar>
            <w:top w:w="0" w:type="dxa"/>
            <w:left w:w="108" w:type="dxa"/>
            <w:bottom w:w="0" w:type="dxa"/>
            <w:right w:w="108" w:type="dxa"/>
          </w:tblCellMar>
        </w:tblPrEx>
        <w:trPr>
          <w:trHeight w:val="533" w:hRule="atLeast"/>
          <w:jc w:val="center"/>
        </w:trPr>
        <w:tc>
          <w:tcPr>
            <w:tcW w:w="566" w:type="pct"/>
            <w:tcBorders>
              <w:top w:val="nil"/>
              <w:left w:val="single" w:color="auto" w:sz="4" w:space="0"/>
              <w:bottom w:val="single" w:color="auto" w:sz="4" w:space="0"/>
              <w:right w:val="single" w:color="auto" w:sz="4" w:space="0"/>
            </w:tcBorders>
            <w:shd w:val="clear" w:color="auto" w:fill="auto"/>
            <w:noWrap/>
            <w:vAlign w:val="center"/>
          </w:tcPr>
          <w:p w14:paraId="0D73FDD3">
            <w:pPr>
              <w:widowControl/>
              <w:spacing w:line="240" w:lineRule="auto"/>
              <w:jc w:val="center"/>
              <w:rPr>
                <w:rFonts w:cs="宋体"/>
                <w:color w:val="000000"/>
                <w:kern w:val="0"/>
              </w:rPr>
            </w:pPr>
            <w:r>
              <w:rPr>
                <w:rFonts w:hint="eastAsia" w:cs="宋体"/>
                <w:color w:val="000000"/>
                <w:kern w:val="0"/>
              </w:rPr>
              <w:t>电话</w:t>
            </w:r>
          </w:p>
        </w:tc>
        <w:tc>
          <w:tcPr>
            <w:tcW w:w="1214" w:type="pct"/>
            <w:gridSpan w:val="2"/>
            <w:tcBorders>
              <w:top w:val="single" w:color="auto" w:sz="4" w:space="0"/>
              <w:left w:val="nil"/>
              <w:bottom w:val="single" w:color="auto" w:sz="4" w:space="0"/>
              <w:right w:val="single" w:color="auto" w:sz="4" w:space="0"/>
            </w:tcBorders>
            <w:shd w:val="clear" w:color="auto" w:fill="auto"/>
            <w:noWrap/>
            <w:vAlign w:val="center"/>
          </w:tcPr>
          <w:p w14:paraId="07F50448">
            <w:pPr>
              <w:widowControl/>
              <w:spacing w:line="240" w:lineRule="auto"/>
              <w:jc w:val="center"/>
              <w:rPr>
                <w:rFonts w:cs="宋体"/>
                <w:color w:val="000000"/>
                <w:kern w:val="0"/>
              </w:rPr>
            </w:pPr>
          </w:p>
        </w:tc>
        <w:tc>
          <w:tcPr>
            <w:tcW w:w="676" w:type="pct"/>
            <w:tcBorders>
              <w:top w:val="nil"/>
              <w:left w:val="nil"/>
              <w:bottom w:val="single" w:color="auto" w:sz="4" w:space="0"/>
              <w:right w:val="single" w:color="auto" w:sz="4" w:space="0"/>
            </w:tcBorders>
            <w:shd w:val="clear" w:color="auto" w:fill="auto"/>
            <w:noWrap/>
            <w:vAlign w:val="center"/>
          </w:tcPr>
          <w:p w14:paraId="2C4B0E2D">
            <w:pPr>
              <w:widowControl/>
              <w:spacing w:line="240" w:lineRule="auto"/>
              <w:jc w:val="center"/>
              <w:rPr>
                <w:rFonts w:cs="宋体"/>
                <w:color w:val="000000"/>
                <w:kern w:val="0"/>
              </w:rPr>
            </w:pPr>
            <w:r>
              <w:rPr>
                <w:rFonts w:hint="eastAsia" w:cs="宋体"/>
                <w:color w:val="000000"/>
                <w:kern w:val="0"/>
              </w:rPr>
              <w:t>QQ号码</w:t>
            </w:r>
          </w:p>
        </w:tc>
        <w:tc>
          <w:tcPr>
            <w:tcW w:w="1496" w:type="pct"/>
            <w:gridSpan w:val="2"/>
            <w:tcBorders>
              <w:top w:val="single" w:color="auto" w:sz="4" w:space="0"/>
              <w:left w:val="nil"/>
              <w:bottom w:val="single" w:color="auto" w:sz="4" w:space="0"/>
              <w:right w:val="single" w:color="auto" w:sz="4" w:space="0"/>
            </w:tcBorders>
            <w:shd w:val="clear" w:color="auto" w:fill="auto"/>
            <w:noWrap/>
            <w:vAlign w:val="center"/>
          </w:tcPr>
          <w:p w14:paraId="11C58F1E">
            <w:pPr>
              <w:widowControl/>
              <w:spacing w:line="240" w:lineRule="auto"/>
              <w:jc w:val="center"/>
              <w:rPr>
                <w:rFonts w:cs="宋体"/>
                <w:color w:val="000000"/>
                <w:kern w:val="0"/>
              </w:rPr>
            </w:pPr>
          </w:p>
        </w:tc>
        <w:tc>
          <w:tcPr>
            <w:tcW w:w="1046" w:type="pct"/>
            <w:vMerge w:val="continue"/>
            <w:tcBorders>
              <w:top w:val="single" w:color="auto" w:sz="4" w:space="0"/>
              <w:left w:val="single" w:color="auto" w:sz="4" w:space="0"/>
              <w:bottom w:val="single" w:color="auto" w:sz="4" w:space="0"/>
              <w:right w:val="single" w:color="auto" w:sz="4" w:space="0"/>
            </w:tcBorders>
            <w:vAlign w:val="center"/>
          </w:tcPr>
          <w:p w14:paraId="022BA4AD">
            <w:pPr>
              <w:widowControl/>
              <w:spacing w:line="240" w:lineRule="auto"/>
              <w:jc w:val="center"/>
              <w:rPr>
                <w:rFonts w:cs="宋体"/>
                <w:color w:val="000000"/>
                <w:kern w:val="0"/>
              </w:rPr>
            </w:pPr>
          </w:p>
        </w:tc>
      </w:tr>
      <w:tr w14:paraId="78ECFFC2">
        <w:tblPrEx>
          <w:tblCellMar>
            <w:top w:w="0" w:type="dxa"/>
            <w:left w:w="108" w:type="dxa"/>
            <w:bottom w:w="0" w:type="dxa"/>
            <w:right w:w="108" w:type="dxa"/>
          </w:tblCellMar>
        </w:tblPrEx>
        <w:trPr>
          <w:trHeight w:val="533" w:hRule="atLeast"/>
          <w:jc w:val="center"/>
        </w:trPr>
        <w:tc>
          <w:tcPr>
            <w:tcW w:w="566" w:type="pct"/>
            <w:tcBorders>
              <w:top w:val="nil"/>
              <w:left w:val="single" w:color="auto" w:sz="4" w:space="0"/>
              <w:bottom w:val="single" w:color="auto" w:sz="4" w:space="0"/>
              <w:right w:val="single" w:color="auto" w:sz="4" w:space="0"/>
            </w:tcBorders>
            <w:shd w:val="clear" w:color="auto" w:fill="auto"/>
            <w:noWrap/>
            <w:vAlign w:val="center"/>
          </w:tcPr>
          <w:p w14:paraId="30C881F7">
            <w:pPr>
              <w:widowControl/>
              <w:spacing w:line="240" w:lineRule="auto"/>
              <w:jc w:val="center"/>
              <w:rPr>
                <w:rFonts w:cs="宋体"/>
                <w:color w:val="000000"/>
                <w:kern w:val="0"/>
              </w:rPr>
            </w:pPr>
            <w:r>
              <w:rPr>
                <w:rFonts w:hint="eastAsia" w:cs="宋体"/>
                <w:color w:val="000000"/>
                <w:kern w:val="0"/>
              </w:rPr>
              <w:t>电子</w:t>
            </w:r>
          </w:p>
          <w:p w14:paraId="5614FD67">
            <w:pPr>
              <w:widowControl/>
              <w:spacing w:line="240" w:lineRule="auto"/>
              <w:jc w:val="center"/>
              <w:rPr>
                <w:rFonts w:cs="宋体"/>
                <w:color w:val="000000"/>
                <w:kern w:val="0"/>
              </w:rPr>
            </w:pPr>
            <w:r>
              <w:rPr>
                <w:rFonts w:hint="eastAsia" w:cs="宋体"/>
                <w:color w:val="000000"/>
                <w:kern w:val="0"/>
              </w:rPr>
              <w:t>邮箱</w:t>
            </w:r>
          </w:p>
        </w:tc>
        <w:tc>
          <w:tcPr>
            <w:tcW w:w="1890" w:type="pct"/>
            <w:gridSpan w:val="3"/>
            <w:tcBorders>
              <w:top w:val="single" w:color="auto" w:sz="4" w:space="0"/>
              <w:left w:val="nil"/>
              <w:bottom w:val="single" w:color="auto" w:sz="4" w:space="0"/>
              <w:right w:val="single" w:color="auto" w:sz="4" w:space="0"/>
            </w:tcBorders>
            <w:shd w:val="clear" w:color="auto" w:fill="auto"/>
            <w:noWrap/>
            <w:vAlign w:val="center"/>
          </w:tcPr>
          <w:p w14:paraId="1FE30319">
            <w:pPr>
              <w:widowControl/>
              <w:spacing w:line="240" w:lineRule="auto"/>
              <w:jc w:val="center"/>
              <w:rPr>
                <w:rFonts w:cs="宋体"/>
                <w:color w:val="000000"/>
                <w:kern w:val="0"/>
              </w:rPr>
            </w:pPr>
          </w:p>
        </w:tc>
        <w:tc>
          <w:tcPr>
            <w:tcW w:w="1496" w:type="pct"/>
            <w:gridSpan w:val="2"/>
            <w:tcBorders>
              <w:top w:val="single" w:color="auto" w:sz="4" w:space="0"/>
              <w:left w:val="nil"/>
              <w:bottom w:val="single" w:color="auto" w:sz="4" w:space="0"/>
              <w:right w:val="single" w:color="auto" w:sz="4" w:space="0"/>
            </w:tcBorders>
            <w:shd w:val="clear" w:color="auto" w:fill="auto"/>
            <w:vAlign w:val="center"/>
          </w:tcPr>
          <w:p w14:paraId="036F2B96">
            <w:pPr>
              <w:spacing w:line="240" w:lineRule="auto"/>
              <w:jc w:val="center"/>
              <w:rPr>
                <w:rFonts w:cs="宋体"/>
                <w:color w:val="000000"/>
                <w:kern w:val="0"/>
              </w:rPr>
            </w:pPr>
            <w:r>
              <w:rPr>
                <w:rFonts w:hint="eastAsia" w:cs="宋体"/>
                <w:color w:val="000000"/>
                <w:kern w:val="0"/>
              </w:rPr>
              <w:t>第一意向部门</w:t>
            </w:r>
          </w:p>
        </w:tc>
        <w:tc>
          <w:tcPr>
            <w:tcW w:w="1046" w:type="pct"/>
            <w:tcBorders>
              <w:top w:val="nil"/>
              <w:left w:val="nil"/>
              <w:bottom w:val="single" w:color="auto" w:sz="4" w:space="0"/>
              <w:right w:val="single" w:color="auto" w:sz="4" w:space="0"/>
            </w:tcBorders>
            <w:shd w:val="clear" w:color="auto" w:fill="auto"/>
            <w:noWrap/>
            <w:vAlign w:val="center"/>
          </w:tcPr>
          <w:p w14:paraId="406257AA">
            <w:pPr>
              <w:widowControl/>
              <w:spacing w:line="240" w:lineRule="auto"/>
              <w:jc w:val="center"/>
              <w:rPr>
                <w:rFonts w:cs="宋体"/>
                <w:color w:val="000000"/>
                <w:kern w:val="0"/>
              </w:rPr>
            </w:pPr>
          </w:p>
        </w:tc>
      </w:tr>
      <w:tr w14:paraId="308C625C">
        <w:tblPrEx>
          <w:tblCellMar>
            <w:top w:w="0" w:type="dxa"/>
            <w:left w:w="108" w:type="dxa"/>
            <w:bottom w:w="0" w:type="dxa"/>
            <w:right w:w="108" w:type="dxa"/>
          </w:tblCellMar>
        </w:tblPrEx>
        <w:trPr>
          <w:trHeight w:val="533" w:hRule="atLeast"/>
          <w:jc w:val="center"/>
        </w:trPr>
        <w:tc>
          <w:tcPr>
            <w:tcW w:w="566" w:type="pct"/>
            <w:vMerge w:val="restart"/>
            <w:tcBorders>
              <w:top w:val="nil"/>
              <w:left w:val="single" w:color="auto" w:sz="4" w:space="0"/>
              <w:right w:val="single" w:color="auto" w:sz="4" w:space="0"/>
            </w:tcBorders>
            <w:shd w:val="clear" w:color="auto" w:fill="auto"/>
            <w:noWrap/>
            <w:vAlign w:val="center"/>
          </w:tcPr>
          <w:p w14:paraId="0783071E">
            <w:pPr>
              <w:widowControl/>
              <w:spacing w:line="240" w:lineRule="auto"/>
              <w:jc w:val="center"/>
              <w:rPr>
                <w:rFonts w:cs="宋体"/>
                <w:color w:val="000000"/>
                <w:kern w:val="0"/>
              </w:rPr>
            </w:pPr>
            <w:r>
              <w:rPr>
                <w:rFonts w:hint="eastAsia" w:cs="宋体"/>
                <w:color w:val="000000"/>
                <w:kern w:val="0"/>
              </w:rPr>
              <w:t>个人</w:t>
            </w:r>
          </w:p>
          <w:p w14:paraId="0574FB05">
            <w:pPr>
              <w:widowControl/>
              <w:spacing w:line="240" w:lineRule="auto"/>
              <w:jc w:val="center"/>
              <w:rPr>
                <w:rFonts w:cs="宋体"/>
                <w:color w:val="000000"/>
                <w:kern w:val="0"/>
              </w:rPr>
            </w:pPr>
            <w:r>
              <w:rPr>
                <w:rFonts w:hint="eastAsia" w:cs="宋体"/>
                <w:color w:val="000000"/>
                <w:kern w:val="0"/>
              </w:rPr>
              <w:t>特长</w:t>
            </w:r>
          </w:p>
        </w:tc>
        <w:tc>
          <w:tcPr>
            <w:tcW w:w="1890" w:type="pct"/>
            <w:gridSpan w:val="3"/>
            <w:vMerge w:val="restart"/>
            <w:tcBorders>
              <w:top w:val="nil"/>
              <w:left w:val="nil"/>
              <w:right w:val="single" w:color="auto" w:sz="4" w:space="0"/>
            </w:tcBorders>
            <w:shd w:val="clear" w:color="auto" w:fill="auto"/>
            <w:noWrap/>
            <w:vAlign w:val="center"/>
          </w:tcPr>
          <w:p w14:paraId="31EB08BD">
            <w:pPr>
              <w:widowControl/>
              <w:spacing w:line="240" w:lineRule="auto"/>
              <w:jc w:val="center"/>
              <w:rPr>
                <w:rFonts w:cs="宋体"/>
                <w:color w:val="000000"/>
                <w:kern w:val="0"/>
              </w:rPr>
            </w:pPr>
          </w:p>
        </w:tc>
        <w:tc>
          <w:tcPr>
            <w:tcW w:w="1496" w:type="pct"/>
            <w:gridSpan w:val="2"/>
            <w:tcBorders>
              <w:top w:val="nil"/>
              <w:left w:val="single" w:color="auto" w:sz="4" w:space="0"/>
              <w:bottom w:val="single" w:color="auto" w:sz="4" w:space="0"/>
              <w:right w:val="single" w:color="auto" w:sz="4" w:space="0"/>
            </w:tcBorders>
            <w:shd w:val="clear" w:color="auto" w:fill="auto"/>
            <w:vAlign w:val="center"/>
          </w:tcPr>
          <w:p w14:paraId="232DFA93">
            <w:pPr>
              <w:widowControl/>
              <w:spacing w:line="240" w:lineRule="auto"/>
              <w:jc w:val="center"/>
              <w:rPr>
                <w:rFonts w:cs="宋体"/>
                <w:color w:val="000000"/>
                <w:kern w:val="0"/>
              </w:rPr>
            </w:pPr>
            <w:r>
              <w:rPr>
                <w:rFonts w:hint="eastAsia" w:cs="宋体"/>
                <w:color w:val="000000"/>
                <w:kern w:val="0"/>
              </w:rPr>
              <w:t>第二意向部门</w:t>
            </w:r>
          </w:p>
        </w:tc>
        <w:tc>
          <w:tcPr>
            <w:tcW w:w="1046" w:type="pct"/>
            <w:tcBorders>
              <w:top w:val="nil"/>
              <w:left w:val="single" w:color="auto" w:sz="4" w:space="0"/>
              <w:bottom w:val="single" w:color="auto" w:sz="4" w:space="0"/>
              <w:right w:val="single" w:color="000000" w:sz="4" w:space="0"/>
            </w:tcBorders>
            <w:shd w:val="clear" w:color="auto" w:fill="auto"/>
            <w:vAlign w:val="center"/>
          </w:tcPr>
          <w:p w14:paraId="6E5BAB88">
            <w:pPr>
              <w:widowControl/>
              <w:spacing w:line="240" w:lineRule="auto"/>
              <w:jc w:val="center"/>
              <w:rPr>
                <w:rFonts w:cs="宋体"/>
                <w:color w:val="000000"/>
                <w:kern w:val="0"/>
              </w:rPr>
            </w:pPr>
          </w:p>
        </w:tc>
      </w:tr>
      <w:tr w14:paraId="7F144CD0">
        <w:tblPrEx>
          <w:tblCellMar>
            <w:top w:w="0" w:type="dxa"/>
            <w:left w:w="108" w:type="dxa"/>
            <w:bottom w:w="0" w:type="dxa"/>
            <w:right w:w="108" w:type="dxa"/>
          </w:tblCellMar>
        </w:tblPrEx>
        <w:trPr>
          <w:trHeight w:val="533" w:hRule="atLeast"/>
          <w:jc w:val="center"/>
        </w:trPr>
        <w:tc>
          <w:tcPr>
            <w:tcW w:w="566" w:type="pct"/>
            <w:vMerge w:val="continue"/>
            <w:tcBorders>
              <w:left w:val="single" w:color="auto" w:sz="4" w:space="0"/>
              <w:bottom w:val="single" w:color="auto" w:sz="4" w:space="0"/>
              <w:right w:val="single" w:color="auto" w:sz="4" w:space="0"/>
            </w:tcBorders>
            <w:shd w:val="clear" w:color="auto" w:fill="auto"/>
            <w:noWrap/>
            <w:vAlign w:val="center"/>
          </w:tcPr>
          <w:p w14:paraId="12BBD8B5">
            <w:pPr>
              <w:widowControl/>
              <w:spacing w:line="240" w:lineRule="auto"/>
              <w:jc w:val="center"/>
              <w:rPr>
                <w:rFonts w:cs="宋体"/>
                <w:color w:val="000000"/>
                <w:kern w:val="0"/>
              </w:rPr>
            </w:pPr>
          </w:p>
        </w:tc>
        <w:tc>
          <w:tcPr>
            <w:tcW w:w="1890" w:type="pct"/>
            <w:gridSpan w:val="3"/>
            <w:vMerge w:val="continue"/>
            <w:tcBorders>
              <w:left w:val="nil"/>
              <w:bottom w:val="single" w:color="auto" w:sz="4" w:space="0"/>
              <w:right w:val="single" w:color="auto" w:sz="4" w:space="0"/>
            </w:tcBorders>
            <w:shd w:val="clear" w:color="auto" w:fill="auto"/>
            <w:noWrap/>
            <w:vAlign w:val="center"/>
          </w:tcPr>
          <w:p w14:paraId="6B880DB4">
            <w:pPr>
              <w:widowControl/>
              <w:spacing w:line="240" w:lineRule="auto"/>
              <w:jc w:val="center"/>
              <w:rPr>
                <w:rFonts w:cs="宋体"/>
                <w:color w:val="000000"/>
                <w:kern w:val="0"/>
              </w:rPr>
            </w:pPr>
          </w:p>
        </w:tc>
        <w:tc>
          <w:tcPr>
            <w:tcW w:w="149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1C7D54">
            <w:pPr>
              <w:widowControl/>
              <w:spacing w:line="240" w:lineRule="auto"/>
              <w:jc w:val="center"/>
              <w:rPr>
                <w:rFonts w:cs="宋体"/>
                <w:color w:val="000000"/>
                <w:kern w:val="0"/>
              </w:rPr>
            </w:pPr>
            <w:r>
              <w:rPr>
                <w:rFonts w:hint="eastAsia" w:cs="宋体"/>
                <w:color w:val="000000"/>
                <w:kern w:val="0"/>
              </w:rPr>
              <w:t>是否服从调剂</w:t>
            </w:r>
          </w:p>
        </w:tc>
        <w:tc>
          <w:tcPr>
            <w:tcW w:w="1046" w:type="pct"/>
            <w:tcBorders>
              <w:top w:val="single" w:color="auto" w:sz="4" w:space="0"/>
              <w:left w:val="single" w:color="auto" w:sz="4" w:space="0"/>
              <w:bottom w:val="single" w:color="auto" w:sz="4" w:space="0"/>
              <w:right w:val="single" w:color="000000" w:sz="4" w:space="0"/>
            </w:tcBorders>
            <w:shd w:val="clear" w:color="auto" w:fill="auto"/>
            <w:vAlign w:val="center"/>
          </w:tcPr>
          <w:p w14:paraId="7E012DCB">
            <w:pPr>
              <w:widowControl/>
              <w:spacing w:line="240" w:lineRule="auto"/>
              <w:jc w:val="center"/>
              <w:rPr>
                <w:rFonts w:cs="宋体"/>
                <w:color w:val="000000"/>
                <w:kern w:val="0"/>
              </w:rPr>
            </w:pPr>
          </w:p>
        </w:tc>
      </w:tr>
      <w:tr w14:paraId="346A241C">
        <w:tblPrEx>
          <w:tblCellMar>
            <w:top w:w="0" w:type="dxa"/>
            <w:left w:w="108" w:type="dxa"/>
            <w:bottom w:w="0" w:type="dxa"/>
            <w:right w:w="108" w:type="dxa"/>
          </w:tblCellMar>
        </w:tblPrEx>
        <w:trPr>
          <w:trHeight w:val="3642" w:hRule="atLeast"/>
          <w:jc w:val="center"/>
        </w:trPr>
        <w:tc>
          <w:tcPr>
            <w:tcW w:w="566" w:type="pct"/>
            <w:tcBorders>
              <w:top w:val="nil"/>
              <w:left w:val="single" w:color="auto" w:sz="4" w:space="0"/>
              <w:bottom w:val="single" w:color="auto" w:sz="4" w:space="0"/>
              <w:right w:val="single" w:color="auto" w:sz="4" w:space="0"/>
            </w:tcBorders>
            <w:shd w:val="clear" w:color="auto" w:fill="auto"/>
            <w:vAlign w:val="center"/>
          </w:tcPr>
          <w:p w14:paraId="795501B8">
            <w:pPr>
              <w:widowControl/>
              <w:spacing w:line="240" w:lineRule="auto"/>
              <w:jc w:val="center"/>
              <w:rPr>
                <w:rFonts w:cs="宋体"/>
                <w:color w:val="000000"/>
                <w:kern w:val="0"/>
              </w:rPr>
            </w:pPr>
            <w:r>
              <w:rPr>
                <w:rFonts w:hint="eastAsia" w:cs="宋体"/>
                <w:color w:val="000000"/>
                <w:kern w:val="0"/>
              </w:rPr>
              <w:t>个人经历简述</w:t>
            </w:r>
          </w:p>
        </w:tc>
        <w:tc>
          <w:tcPr>
            <w:tcW w:w="4433" w:type="pct"/>
            <w:gridSpan w:val="6"/>
            <w:tcBorders>
              <w:top w:val="single" w:color="auto" w:sz="4" w:space="0"/>
              <w:left w:val="nil"/>
              <w:bottom w:val="single" w:color="auto" w:sz="4" w:space="0"/>
              <w:right w:val="single" w:color="auto" w:sz="4" w:space="0"/>
            </w:tcBorders>
            <w:shd w:val="clear" w:color="auto" w:fill="auto"/>
            <w:noWrap/>
            <w:vAlign w:val="center"/>
          </w:tcPr>
          <w:p w14:paraId="4CF0CEA2">
            <w:pPr>
              <w:widowControl/>
              <w:spacing w:line="240" w:lineRule="auto"/>
              <w:jc w:val="center"/>
              <w:rPr>
                <w:rFonts w:cs="宋体"/>
                <w:color w:val="000000"/>
                <w:kern w:val="0"/>
              </w:rPr>
            </w:pPr>
          </w:p>
        </w:tc>
      </w:tr>
      <w:tr w14:paraId="4E123E46">
        <w:tblPrEx>
          <w:tblCellMar>
            <w:top w:w="0" w:type="dxa"/>
            <w:left w:w="108" w:type="dxa"/>
            <w:bottom w:w="0" w:type="dxa"/>
            <w:right w:w="108" w:type="dxa"/>
          </w:tblCellMar>
        </w:tblPrEx>
        <w:trPr>
          <w:trHeight w:val="3467" w:hRule="atLeast"/>
          <w:jc w:val="center"/>
        </w:trPr>
        <w:tc>
          <w:tcPr>
            <w:tcW w:w="566" w:type="pct"/>
            <w:tcBorders>
              <w:top w:val="nil"/>
              <w:left w:val="single" w:color="auto" w:sz="4" w:space="0"/>
              <w:bottom w:val="single" w:color="auto" w:sz="4" w:space="0"/>
              <w:right w:val="single" w:color="auto" w:sz="4" w:space="0"/>
            </w:tcBorders>
            <w:shd w:val="clear" w:color="auto" w:fill="auto"/>
            <w:vAlign w:val="center"/>
          </w:tcPr>
          <w:p w14:paraId="7182979B">
            <w:pPr>
              <w:widowControl/>
              <w:spacing w:line="240" w:lineRule="auto"/>
              <w:jc w:val="center"/>
              <w:rPr>
                <w:rFonts w:cs="宋体"/>
                <w:color w:val="000000"/>
                <w:kern w:val="0"/>
              </w:rPr>
            </w:pPr>
            <w:r>
              <w:rPr>
                <w:rFonts w:hint="eastAsia" w:cs="宋体"/>
                <w:color w:val="000000"/>
                <w:kern w:val="0"/>
              </w:rPr>
              <w:t>本人对应聘部门的理解看法</w:t>
            </w:r>
          </w:p>
        </w:tc>
        <w:tc>
          <w:tcPr>
            <w:tcW w:w="4433" w:type="pct"/>
            <w:gridSpan w:val="6"/>
            <w:tcBorders>
              <w:top w:val="single" w:color="auto" w:sz="4" w:space="0"/>
              <w:left w:val="nil"/>
              <w:bottom w:val="single" w:color="auto" w:sz="4" w:space="0"/>
              <w:right w:val="single" w:color="auto" w:sz="4" w:space="0"/>
            </w:tcBorders>
            <w:shd w:val="clear" w:color="auto" w:fill="auto"/>
            <w:noWrap/>
            <w:vAlign w:val="center"/>
          </w:tcPr>
          <w:p w14:paraId="7E40119F">
            <w:pPr>
              <w:widowControl/>
              <w:spacing w:line="240" w:lineRule="auto"/>
              <w:jc w:val="center"/>
              <w:rPr>
                <w:rFonts w:cs="宋体"/>
                <w:color w:val="000000"/>
                <w:kern w:val="0"/>
              </w:rPr>
            </w:pPr>
          </w:p>
        </w:tc>
      </w:tr>
      <w:tr w14:paraId="495E6390">
        <w:tblPrEx>
          <w:tblCellMar>
            <w:top w:w="0" w:type="dxa"/>
            <w:left w:w="108" w:type="dxa"/>
            <w:bottom w:w="0" w:type="dxa"/>
            <w:right w:w="108" w:type="dxa"/>
          </w:tblCellMar>
        </w:tblPrEx>
        <w:trPr>
          <w:trHeight w:val="1118" w:hRule="atLeast"/>
          <w:jc w:val="center"/>
        </w:trPr>
        <w:tc>
          <w:tcPr>
            <w:tcW w:w="566" w:type="pct"/>
            <w:tcBorders>
              <w:top w:val="nil"/>
              <w:left w:val="single" w:color="auto" w:sz="4" w:space="0"/>
              <w:bottom w:val="single" w:color="auto" w:sz="4" w:space="0"/>
              <w:right w:val="single" w:color="auto" w:sz="4" w:space="0"/>
            </w:tcBorders>
            <w:shd w:val="clear" w:color="auto" w:fill="auto"/>
            <w:noWrap/>
            <w:vAlign w:val="center"/>
          </w:tcPr>
          <w:p w14:paraId="030E30C9">
            <w:pPr>
              <w:widowControl/>
              <w:spacing w:line="240" w:lineRule="auto"/>
              <w:jc w:val="center"/>
              <w:rPr>
                <w:rFonts w:cs="宋体"/>
                <w:color w:val="000000"/>
                <w:kern w:val="0"/>
              </w:rPr>
            </w:pPr>
            <w:r>
              <w:rPr>
                <w:rFonts w:hint="eastAsia" w:cs="宋体"/>
                <w:color w:val="000000"/>
                <w:kern w:val="0"/>
              </w:rPr>
              <w:t>备注</w:t>
            </w:r>
          </w:p>
        </w:tc>
        <w:tc>
          <w:tcPr>
            <w:tcW w:w="4433" w:type="pct"/>
            <w:gridSpan w:val="6"/>
            <w:tcBorders>
              <w:top w:val="single" w:color="auto" w:sz="4" w:space="0"/>
              <w:left w:val="nil"/>
              <w:bottom w:val="single" w:color="auto" w:sz="4" w:space="0"/>
              <w:right w:val="single" w:color="auto" w:sz="4" w:space="0"/>
            </w:tcBorders>
            <w:shd w:val="clear" w:color="auto" w:fill="auto"/>
            <w:vAlign w:val="center"/>
          </w:tcPr>
          <w:p w14:paraId="1A820CE1">
            <w:pPr>
              <w:widowControl/>
              <w:spacing w:line="240" w:lineRule="auto"/>
              <w:rPr>
                <w:rFonts w:cs="宋体"/>
                <w:color w:val="000000"/>
                <w:kern w:val="0"/>
                <w:szCs w:val="24"/>
              </w:rPr>
            </w:pPr>
            <w:r>
              <w:rPr>
                <w:rFonts w:hint="eastAsia" w:cs="宋体"/>
                <w:color w:val="000000"/>
                <w:kern w:val="0"/>
                <w:szCs w:val="24"/>
              </w:rPr>
              <w:t>学生会部门：</w:t>
            </w:r>
          </w:p>
          <w:p w14:paraId="50BCE621">
            <w:pPr>
              <w:widowControl/>
              <w:spacing w:line="240" w:lineRule="auto"/>
              <w:ind w:firstLine="480"/>
              <w:jc w:val="both"/>
              <w:rPr>
                <w:rFonts w:hint="default" w:eastAsia="宋体" w:cs="宋体"/>
                <w:color w:val="000000"/>
                <w:kern w:val="0"/>
                <w:szCs w:val="24"/>
                <w:lang w:val="en-US" w:eastAsia="zh-CN"/>
              </w:rPr>
            </w:pPr>
            <w:r>
              <w:rPr>
                <w:rFonts w:hint="eastAsia" w:cs="宋体"/>
                <w:color w:val="000000"/>
                <w:kern w:val="0"/>
                <w:szCs w:val="24"/>
              </w:rPr>
              <w:t>综合服务部、组织部、学习部、宣传部、文体部、</w:t>
            </w:r>
            <w:r>
              <w:rPr>
                <w:rFonts w:hint="eastAsia" w:cs="宋体"/>
                <w:color w:val="000000"/>
                <w:kern w:val="0"/>
                <w:szCs w:val="24"/>
                <w:lang w:val="en-US" w:eastAsia="zh-CN"/>
              </w:rPr>
              <w:t>生活部、权益部</w:t>
            </w:r>
            <w:r>
              <w:rPr>
                <w:rFonts w:hint="eastAsia" w:cs="宋体"/>
                <w:color w:val="000000"/>
                <w:kern w:val="0"/>
                <w:szCs w:val="24"/>
              </w:rPr>
              <w:t>、媒体工作部、志愿者实践部、</w:t>
            </w:r>
            <w:r>
              <w:rPr>
                <w:rFonts w:hint="eastAsia" w:cs="宋体"/>
                <w:color w:val="000000"/>
                <w:kern w:val="0"/>
                <w:szCs w:val="24"/>
                <w:lang w:val="en-US" w:eastAsia="zh-CN"/>
              </w:rPr>
              <w:t>创新创业服务部、学风督导队、文明督导队</w:t>
            </w:r>
          </w:p>
        </w:tc>
      </w:tr>
    </w:tbl>
    <w:p w14:paraId="2D4FFB0A">
      <w:pPr>
        <w:spacing w:before="120" w:after="120"/>
        <w:jc w:val="right"/>
        <w:rPr>
          <w:szCs w:val="24"/>
        </w:rPr>
      </w:pPr>
      <w:r>
        <w:rPr>
          <w:rFonts w:hint="eastAsia"/>
          <w:szCs w:val="24"/>
        </w:rPr>
        <w:t>管理学院团总支学生会</w:t>
      </w:r>
    </w:p>
    <w:p w14:paraId="1690422C">
      <w:pPr>
        <w:keepNext w:val="0"/>
        <w:keepLines w:val="0"/>
        <w:pageBreakBefore w:val="0"/>
        <w:widowControl/>
        <w:kinsoku/>
        <w:wordWrap/>
        <w:overflowPunct/>
        <w:topLinePunct w:val="0"/>
        <w:autoSpaceDE/>
        <w:autoSpaceDN/>
        <w:bidi w:val="0"/>
        <w:adjustRightInd/>
        <w:snapToGrid/>
        <w:jc w:val="center"/>
        <w:textAlignment w:val="auto"/>
        <w:rPr>
          <w:rFonts w:ascii="黑体" w:hAnsi="黑体" w:eastAsia="黑体"/>
          <w:b/>
          <w:bCs/>
          <w:sz w:val="36"/>
          <w:szCs w:val="36"/>
        </w:rPr>
      </w:pPr>
      <w:r>
        <w:rPr>
          <w:rFonts w:hint="eastAsia" w:ascii="黑体" w:hAnsi="黑体" w:eastAsia="黑体"/>
          <w:b/>
          <w:bCs/>
          <w:sz w:val="36"/>
          <w:szCs w:val="36"/>
        </w:rPr>
        <w:t>管理学院团总支学生会各部门简介</w:t>
      </w:r>
    </w:p>
    <w:p w14:paraId="5AFE68D9">
      <w:pPr>
        <w:keepNext w:val="0"/>
        <w:keepLines w:val="0"/>
        <w:pageBreakBefore w:val="0"/>
        <w:widowControl/>
        <w:kinsoku/>
        <w:wordWrap/>
        <w:overflowPunct/>
        <w:topLinePunct w:val="0"/>
        <w:autoSpaceDE/>
        <w:autoSpaceDN/>
        <w:bidi w:val="0"/>
        <w:adjustRightInd/>
        <w:snapToGrid/>
        <w:spacing w:before="63" w:beforeLines="20" w:after="63" w:afterLines="20" w:line="280" w:lineRule="exact"/>
        <w:jc w:val="center"/>
        <w:textAlignment w:val="auto"/>
        <w:rPr>
          <w:rFonts w:ascii="黑体" w:hAnsi="黑体" w:eastAsia="黑体"/>
          <w:sz w:val="32"/>
          <w:szCs w:val="32"/>
        </w:rPr>
      </w:pPr>
      <w:r>
        <w:rPr>
          <w:rStyle w:val="15"/>
          <w:b w:val="0"/>
          <w:bCs w:val="0"/>
          <w:sz w:val="32"/>
          <w:szCs w:val="32"/>
        </w:rPr>
        <w:t>综合</w:t>
      </w:r>
      <w:r>
        <w:rPr>
          <w:rStyle w:val="15"/>
          <w:rFonts w:ascii="Times New Roman" w:hAnsi="Times New Roman" w:cstheme="minorBidi"/>
          <w:b w:val="0"/>
          <w:bCs w:val="0"/>
          <w:sz w:val="32"/>
          <w:szCs w:val="32"/>
        </w:rPr>
        <w:t>服务部</w:t>
      </w:r>
    </w:p>
    <w:p w14:paraId="05C54A17">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rPr>
          <w:rFonts w:hint="eastAsia" w:ascii="宋体" w:hAnsi="宋体"/>
          <w:sz w:val="21"/>
          <w:szCs w:val="21"/>
        </w:rPr>
      </w:pPr>
      <w:r>
        <w:rPr>
          <w:rFonts w:hint="eastAsia" w:ascii="宋体" w:hAnsi="宋体"/>
          <w:sz w:val="21"/>
          <w:szCs w:val="21"/>
        </w:rPr>
        <w:t>是一个具体负责联络、沟通、通知学生会所有部门，综合协调处理内外相关事宜，处理学生会的日常工作，制定考核规章制度和工作细则，收集整理工作汇报以及月度考评等各种表格，编辑各项通知，组织召开学生会例会、学生会述职评议大会、学生会总结表彰大会，收集并汇总各个班级到梦空间策划书，起草并打印各种活动证书。因此，综合服务部是一个综合性很强的部门，在老师、学生会、班级之间形成沟通的纽带，具有跨部门全方位的特点。</w:t>
      </w:r>
    </w:p>
    <w:p w14:paraId="76FF4B3C">
      <w:pPr>
        <w:keepNext w:val="0"/>
        <w:keepLines w:val="0"/>
        <w:pageBreakBefore w:val="0"/>
        <w:widowControl/>
        <w:kinsoku/>
        <w:wordWrap/>
        <w:overflowPunct/>
        <w:topLinePunct w:val="0"/>
        <w:autoSpaceDE/>
        <w:autoSpaceDN/>
        <w:bidi w:val="0"/>
        <w:adjustRightInd/>
        <w:snapToGrid/>
        <w:spacing w:before="63" w:beforeLines="20" w:after="63" w:afterLines="20" w:line="280" w:lineRule="exact"/>
        <w:jc w:val="center"/>
        <w:textAlignment w:val="auto"/>
        <w:rPr>
          <w:rStyle w:val="15"/>
          <w:b w:val="0"/>
          <w:bCs w:val="0"/>
          <w:sz w:val="32"/>
          <w:szCs w:val="32"/>
        </w:rPr>
      </w:pPr>
      <w:r>
        <w:rPr>
          <w:rStyle w:val="15"/>
          <w:rFonts w:hint="eastAsia" w:ascii="Times New Roman" w:hAnsi="Times New Roman" w:eastAsia="黑体" w:cstheme="minorBidi"/>
          <w:b w:val="0"/>
          <w:bCs w:val="0"/>
          <w:sz w:val="32"/>
          <w:szCs w:val="32"/>
          <w:lang w:val="en-US" w:eastAsia="zh-CN"/>
        </w:rPr>
        <w:t>组织部</w:t>
      </w:r>
    </w:p>
    <w:p w14:paraId="725B4E6E">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rPr>
          <w:rFonts w:hint="eastAsia" w:ascii="宋体" w:hAnsi="宋体"/>
          <w:sz w:val="21"/>
          <w:szCs w:val="21"/>
        </w:rPr>
      </w:pPr>
      <w:r>
        <w:rPr>
          <w:rFonts w:hint="eastAsia" w:ascii="宋体" w:hAnsi="宋体"/>
          <w:sz w:val="21"/>
          <w:szCs w:val="21"/>
        </w:rPr>
        <w:t>该部门主要负责共青团思想建设、组织建设及团干部培养管理工作，以“公平、公开、公正”为原则，既致力于引导同学们树立正确健康思想、积极向党组织靠拢，也会围绕团组织生活策划团日活动丰富大学生活，具体承担团党推优、主题团会评分审核、智慧团建操作、团员教育评议、团籍注册、对标定级、五四评优、新生团组织关系转接、团费收取、到梦空间活动运营等工作，同时配合校团委完成演讲比赛等活动的策划与组织。</w:t>
      </w:r>
    </w:p>
    <w:p w14:paraId="40DE3D59">
      <w:pPr>
        <w:keepNext w:val="0"/>
        <w:keepLines w:val="0"/>
        <w:pageBreakBefore w:val="0"/>
        <w:widowControl/>
        <w:kinsoku/>
        <w:wordWrap/>
        <w:overflowPunct/>
        <w:topLinePunct w:val="0"/>
        <w:autoSpaceDE/>
        <w:autoSpaceDN/>
        <w:bidi w:val="0"/>
        <w:adjustRightInd/>
        <w:snapToGrid/>
        <w:spacing w:before="63" w:beforeLines="20" w:after="63" w:afterLines="20" w:line="280" w:lineRule="exact"/>
        <w:jc w:val="center"/>
        <w:textAlignment w:val="auto"/>
        <w:rPr>
          <w:rStyle w:val="15"/>
          <w:b w:val="0"/>
          <w:bCs w:val="0"/>
          <w:sz w:val="32"/>
          <w:szCs w:val="32"/>
        </w:rPr>
      </w:pPr>
      <w:r>
        <w:rPr>
          <w:rStyle w:val="15"/>
          <w:rFonts w:hint="eastAsia" w:ascii="Times New Roman" w:hAnsi="Times New Roman" w:eastAsia="黑体" w:cstheme="minorBidi"/>
          <w:b w:val="0"/>
          <w:bCs w:val="0"/>
          <w:sz w:val="32"/>
          <w:szCs w:val="32"/>
          <w:lang w:val="en-US" w:eastAsia="zh-CN"/>
        </w:rPr>
        <w:t>学习</w:t>
      </w:r>
      <w:r>
        <w:rPr>
          <w:rStyle w:val="15"/>
          <w:b w:val="0"/>
          <w:bCs w:val="0"/>
          <w:sz w:val="32"/>
          <w:szCs w:val="32"/>
        </w:rPr>
        <w:t>部</w:t>
      </w:r>
    </w:p>
    <w:p w14:paraId="067BA441">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rPr>
          <w:rFonts w:hint="eastAsia" w:ascii="宋体" w:hAnsi="宋体"/>
          <w:sz w:val="21"/>
          <w:szCs w:val="21"/>
        </w:rPr>
      </w:pPr>
      <w:r>
        <w:rPr>
          <w:rFonts w:hint="eastAsia" w:ascii="宋体" w:hAnsi="宋体"/>
          <w:sz w:val="21"/>
          <w:szCs w:val="21"/>
        </w:rPr>
        <w:t>具体负责为管理学院同学们营造良好的学习氛围。组织开展“书香管院”读书会，最美笔记展，专升本复习备考分享会，四六级经验交流会等活动；负责维护各班晚自习良好纪律，为同学们搭建学习交流平台，促进同学们的学习交流和互帮互助。</w:t>
      </w:r>
    </w:p>
    <w:p w14:paraId="64165D15">
      <w:pPr>
        <w:keepNext w:val="0"/>
        <w:keepLines w:val="0"/>
        <w:pageBreakBefore w:val="0"/>
        <w:widowControl/>
        <w:kinsoku/>
        <w:wordWrap/>
        <w:overflowPunct/>
        <w:topLinePunct w:val="0"/>
        <w:autoSpaceDE/>
        <w:autoSpaceDN/>
        <w:bidi w:val="0"/>
        <w:adjustRightInd/>
        <w:snapToGrid/>
        <w:spacing w:before="63" w:beforeLines="20" w:after="63" w:afterLines="20" w:line="280" w:lineRule="exact"/>
        <w:jc w:val="center"/>
        <w:textAlignment w:val="auto"/>
        <w:rPr>
          <w:rStyle w:val="15"/>
          <w:rFonts w:ascii="Times New Roman" w:hAnsi="Times New Roman"/>
          <w:b w:val="0"/>
          <w:bCs w:val="0"/>
          <w:sz w:val="32"/>
          <w:szCs w:val="32"/>
        </w:rPr>
      </w:pPr>
      <w:r>
        <w:rPr>
          <w:rStyle w:val="15"/>
          <w:rFonts w:hint="eastAsia" w:ascii="Times New Roman" w:hAnsi="Times New Roman"/>
          <w:b w:val="0"/>
          <w:bCs w:val="0"/>
          <w:sz w:val="32"/>
          <w:szCs w:val="32"/>
          <w:lang w:val="en-US" w:eastAsia="zh-CN"/>
        </w:rPr>
        <w:t>宣传部</w:t>
      </w:r>
    </w:p>
    <w:p w14:paraId="677C3E53">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rPr>
          <w:rFonts w:hint="eastAsia" w:ascii="宋体" w:hAnsi="宋体"/>
          <w:sz w:val="21"/>
          <w:szCs w:val="21"/>
        </w:rPr>
      </w:pPr>
      <w:r>
        <w:rPr>
          <w:rFonts w:hint="eastAsia" w:ascii="宋体" w:hAnsi="宋体"/>
          <w:sz w:val="21"/>
          <w:szCs w:val="21"/>
        </w:rPr>
        <w:t>具体负责管理学院团学活动的宣传工作，是服务于学校意识形态工作、新闻舆论工作、理论学习、精神文明建设和校园文化建设的职能部门。主要工作内容为新闻撰写、制作推文、设计海报、更新管理学院官网与运营管理学院官方QQ等，是展示创意与才华的平台，宣传学院风采与特色的窗口，同时配合其他部门工作，积极开展学生思想教育工作，进行思想文化、校园文化宣传。</w:t>
      </w:r>
    </w:p>
    <w:p w14:paraId="1386A809">
      <w:pPr>
        <w:keepNext w:val="0"/>
        <w:keepLines w:val="0"/>
        <w:pageBreakBefore w:val="0"/>
        <w:widowControl/>
        <w:kinsoku/>
        <w:wordWrap/>
        <w:overflowPunct/>
        <w:topLinePunct w:val="0"/>
        <w:autoSpaceDE/>
        <w:autoSpaceDN/>
        <w:bidi w:val="0"/>
        <w:adjustRightInd/>
        <w:snapToGrid/>
        <w:spacing w:before="63" w:beforeLines="20" w:after="63" w:afterLines="20" w:line="280" w:lineRule="exact"/>
        <w:jc w:val="center"/>
        <w:textAlignment w:val="auto"/>
        <w:rPr>
          <w:rStyle w:val="15"/>
          <w:b w:val="0"/>
          <w:bCs w:val="0"/>
          <w:sz w:val="32"/>
          <w:szCs w:val="32"/>
        </w:rPr>
      </w:pPr>
      <w:r>
        <w:rPr>
          <w:rStyle w:val="15"/>
          <w:rFonts w:hint="eastAsia" w:ascii="Times New Roman" w:hAnsi="Times New Roman" w:eastAsia="黑体" w:cstheme="minorBidi"/>
          <w:b w:val="0"/>
          <w:bCs w:val="0"/>
          <w:sz w:val="32"/>
          <w:szCs w:val="32"/>
          <w:lang w:val="en-US" w:eastAsia="zh-CN"/>
        </w:rPr>
        <w:t>文体部</w:t>
      </w:r>
    </w:p>
    <w:p w14:paraId="664AF3E5">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rPr>
          <w:rFonts w:hint="eastAsia" w:ascii="宋体" w:hAnsi="宋体"/>
          <w:sz w:val="21"/>
          <w:szCs w:val="21"/>
        </w:rPr>
      </w:pPr>
      <w:r>
        <w:rPr>
          <w:rFonts w:hint="eastAsia" w:ascii="宋体" w:hAnsi="宋体"/>
          <w:sz w:val="21"/>
          <w:szCs w:val="21"/>
          <w:lang w:val="en-US" w:eastAsia="zh-CN"/>
        </w:rPr>
        <w:t>具体</w:t>
      </w:r>
      <w:r>
        <w:rPr>
          <w:rFonts w:hint="eastAsia" w:ascii="宋体" w:hAnsi="宋体"/>
          <w:sz w:val="21"/>
          <w:szCs w:val="21"/>
        </w:rPr>
        <w:t>负责学院各类文体活动的全流程管理，涵盖策划、筹备与组织工作。具体包括统筹文艺汇演，开展拔河比赛、校运动会、歌唱比赛等积极健康的文体赛事与活动。始终以“服务同学”为宗旨，精准关注同学们的需求与兴趣，致力于提供丰富多元的文化体育活动，激发大家参与热情，并积极协助其他部门开展各类联动活动。</w:t>
      </w:r>
    </w:p>
    <w:p w14:paraId="04D94C93">
      <w:pPr>
        <w:keepNext w:val="0"/>
        <w:keepLines w:val="0"/>
        <w:pageBreakBefore w:val="0"/>
        <w:widowControl/>
        <w:kinsoku/>
        <w:wordWrap/>
        <w:overflowPunct/>
        <w:topLinePunct w:val="0"/>
        <w:autoSpaceDE/>
        <w:autoSpaceDN/>
        <w:bidi w:val="0"/>
        <w:adjustRightInd/>
        <w:snapToGrid/>
        <w:spacing w:before="63" w:beforeLines="20" w:after="63" w:afterLines="20" w:line="280" w:lineRule="exact"/>
        <w:jc w:val="center"/>
        <w:textAlignment w:val="auto"/>
        <w:rPr>
          <w:rStyle w:val="15"/>
          <w:rFonts w:hint="eastAsia" w:eastAsia="黑体"/>
          <w:b w:val="0"/>
          <w:bCs w:val="0"/>
          <w:sz w:val="32"/>
          <w:szCs w:val="32"/>
          <w:lang w:val="en-US" w:eastAsia="zh-CN"/>
        </w:rPr>
      </w:pPr>
      <w:r>
        <w:rPr>
          <w:rStyle w:val="15"/>
          <w:rFonts w:ascii="Times New Roman" w:hAnsi="Times New Roman" w:cstheme="minorBidi"/>
          <w:b w:val="0"/>
          <w:bCs w:val="0"/>
          <w:sz w:val="32"/>
          <w:szCs w:val="32"/>
        </w:rPr>
        <w:t>权益</w:t>
      </w:r>
      <w:r>
        <w:rPr>
          <w:rStyle w:val="15"/>
          <w:rFonts w:hint="eastAsia" w:ascii="Times New Roman" w:hAnsi="Times New Roman" w:eastAsia="黑体" w:cstheme="minorBidi"/>
          <w:b w:val="0"/>
          <w:bCs w:val="0"/>
          <w:sz w:val="32"/>
          <w:szCs w:val="32"/>
          <w:lang w:val="en-US" w:eastAsia="zh-CN"/>
        </w:rPr>
        <w:t>部</w:t>
      </w:r>
    </w:p>
    <w:p w14:paraId="7E4145B4">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rPr>
          <w:rFonts w:hint="eastAsia" w:ascii="宋体" w:hAnsi="宋体"/>
          <w:sz w:val="21"/>
          <w:szCs w:val="21"/>
        </w:rPr>
      </w:pPr>
      <w:r>
        <w:rPr>
          <w:rFonts w:hint="eastAsia" w:ascii="宋体" w:hAnsi="宋体"/>
          <w:sz w:val="21"/>
          <w:szCs w:val="21"/>
        </w:rPr>
        <w:t>具体负责收集、整理和反映学院学生诉求，维护学生正当合法权益。主要工作为营造文明宿舍氛围、落实宿舍各项安全检查、促进奖助学金评定的公平公正、宣传普及心理健康知识，关注学院学生心理状态等。生活与权益服务部坚持以广大同学的切身利益出发，敢于为同学们说话，甘于为同学们服务的原则，致力于创建与维系学生良好的学习氛围与生活环境。</w:t>
      </w:r>
    </w:p>
    <w:p w14:paraId="0C7EFD8E">
      <w:pPr>
        <w:keepNext w:val="0"/>
        <w:keepLines w:val="0"/>
        <w:pageBreakBefore w:val="0"/>
        <w:widowControl/>
        <w:kinsoku/>
        <w:wordWrap/>
        <w:overflowPunct/>
        <w:topLinePunct w:val="0"/>
        <w:autoSpaceDE/>
        <w:autoSpaceDN/>
        <w:bidi w:val="0"/>
        <w:adjustRightInd/>
        <w:snapToGrid/>
        <w:spacing w:before="63" w:beforeLines="20" w:after="63" w:afterLines="20" w:line="280" w:lineRule="exact"/>
        <w:jc w:val="center"/>
        <w:textAlignment w:val="auto"/>
        <w:rPr>
          <w:rStyle w:val="15"/>
          <w:rFonts w:hint="eastAsia" w:ascii="Times New Roman" w:hAnsi="Times New Roman" w:cstheme="minorBidi"/>
          <w:b w:val="0"/>
          <w:bCs w:val="0"/>
          <w:sz w:val="32"/>
          <w:szCs w:val="32"/>
          <w:lang w:val="en-US" w:eastAsia="zh-CN"/>
        </w:rPr>
      </w:pPr>
      <w:r>
        <w:rPr>
          <w:rStyle w:val="15"/>
          <w:rFonts w:hint="eastAsia" w:ascii="Times New Roman" w:hAnsi="Times New Roman" w:cstheme="minorBidi"/>
          <w:b w:val="0"/>
          <w:bCs w:val="0"/>
          <w:sz w:val="32"/>
          <w:szCs w:val="32"/>
          <w:lang w:val="en-US" w:eastAsia="zh-CN"/>
        </w:rPr>
        <w:t>生活部</w:t>
      </w:r>
    </w:p>
    <w:p w14:paraId="09D0C616">
      <w:pPr>
        <w:keepNext w:val="0"/>
        <w:keepLines w:val="0"/>
        <w:pageBreakBefore w:val="0"/>
        <w:widowControl/>
        <w:kinsoku/>
        <w:wordWrap/>
        <w:overflowPunct/>
        <w:topLinePunct w:val="0"/>
        <w:autoSpaceDE/>
        <w:autoSpaceDN/>
        <w:bidi w:val="0"/>
        <w:adjustRightInd/>
        <w:snapToGrid/>
        <w:spacing w:before="63" w:beforeLines="20" w:after="63" w:afterLines="20" w:line="320" w:lineRule="exact"/>
        <w:ind w:firstLine="420" w:firstLineChars="200"/>
        <w:jc w:val="left"/>
        <w:textAlignment w:val="auto"/>
        <w:rPr>
          <w:rStyle w:val="15"/>
          <w:rFonts w:hint="default" w:ascii="Times New Roman" w:hAnsi="Times New Roman" w:cstheme="minorBidi"/>
          <w:b w:val="0"/>
          <w:bCs w:val="0"/>
          <w:sz w:val="32"/>
          <w:szCs w:val="32"/>
          <w:lang w:val="en-US" w:eastAsia="zh-CN"/>
        </w:rPr>
      </w:pPr>
      <w:r>
        <w:rPr>
          <w:rFonts w:hint="default" w:ascii="宋体" w:hAnsi="宋体"/>
          <w:sz w:val="21"/>
          <w:szCs w:val="21"/>
          <w:lang w:val="en-US" w:eastAsia="zh-CN"/>
        </w:rPr>
        <w:t>以保障学生日常生活秩序、营造安全舒适的住宿环境为核心职责，具体工作聚焦于宿舍管理。主要负责定期开展寝室卫生检查，引导学生养成良好生活习惯；严格执行违规电器排查，消除宿舍安全隐患；精准落实晚归情况核查与记录，维护宿舍夜间作息秩序，全力为同学们打造安全、整洁、有序的生活空间。</w:t>
      </w:r>
    </w:p>
    <w:p w14:paraId="69E3254C">
      <w:pPr>
        <w:keepNext w:val="0"/>
        <w:keepLines w:val="0"/>
        <w:pageBreakBefore w:val="0"/>
        <w:widowControl/>
        <w:kinsoku/>
        <w:wordWrap/>
        <w:overflowPunct/>
        <w:topLinePunct w:val="0"/>
        <w:autoSpaceDE/>
        <w:autoSpaceDN/>
        <w:bidi w:val="0"/>
        <w:adjustRightInd/>
        <w:snapToGrid/>
        <w:spacing w:before="63" w:beforeLines="20" w:after="63" w:afterLines="20" w:line="280" w:lineRule="exact"/>
        <w:jc w:val="center"/>
        <w:textAlignment w:val="auto"/>
        <w:rPr>
          <w:rStyle w:val="15"/>
          <w:rFonts w:hint="default" w:ascii="Times New Roman" w:hAnsi="Times New Roman"/>
          <w:b w:val="0"/>
          <w:bCs w:val="0"/>
          <w:sz w:val="32"/>
          <w:szCs w:val="32"/>
          <w:lang w:val="en-US" w:eastAsia="zh-CN"/>
        </w:rPr>
      </w:pPr>
      <w:r>
        <w:rPr>
          <w:rStyle w:val="15"/>
          <w:rFonts w:hint="eastAsia" w:ascii="Times New Roman" w:hAnsi="Times New Roman"/>
          <w:b w:val="0"/>
          <w:bCs w:val="0"/>
          <w:sz w:val="32"/>
          <w:szCs w:val="32"/>
          <w:lang w:val="en-US" w:eastAsia="zh-CN"/>
        </w:rPr>
        <w:t>媒体工作部</w:t>
      </w:r>
    </w:p>
    <w:p w14:paraId="076ED14A">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rPr>
          <w:rFonts w:hint="eastAsia" w:ascii="宋体" w:hAnsi="宋体"/>
          <w:sz w:val="21"/>
          <w:szCs w:val="21"/>
        </w:rPr>
      </w:pPr>
      <w:r>
        <w:rPr>
          <w:rFonts w:hint="eastAsia" w:ascii="宋体" w:hAnsi="宋体"/>
          <w:sz w:val="21"/>
          <w:szCs w:val="21"/>
        </w:rPr>
        <w:t>负责学院官方微信公众号、抖音等新媒体平台的整体运营，核心工作涵盖多方面：聚焦学院师生动态以产出优质报道内容，搭建学生与校园活动间的核心沟通桥梁；引导学生合理运用网络资源，助力其开拓视野、丰富课余生活，同时传递校园正向氛围；统筹院校活动宣传工作，策划并执行新媒体线上线下联动推广方案，以此提升活动的知晓度与参与度；负责活动现场直播，并运用多媒体技术完成视频拍摄与后期制作，保障内容呈现质量；及时发布院内资讯与动态，确保信息传递不中断，满足学生校园生活需求。</w:t>
      </w:r>
    </w:p>
    <w:p w14:paraId="4CDE590B">
      <w:pPr>
        <w:keepNext w:val="0"/>
        <w:keepLines w:val="0"/>
        <w:pageBreakBefore w:val="0"/>
        <w:widowControl/>
        <w:kinsoku/>
        <w:wordWrap/>
        <w:overflowPunct/>
        <w:topLinePunct w:val="0"/>
        <w:autoSpaceDE/>
        <w:autoSpaceDN/>
        <w:bidi w:val="0"/>
        <w:adjustRightInd/>
        <w:snapToGrid/>
        <w:spacing w:before="63" w:beforeLines="20" w:after="63" w:afterLines="20" w:line="280" w:lineRule="exact"/>
        <w:jc w:val="center"/>
        <w:textAlignment w:val="auto"/>
        <w:rPr>
          <w:rStyle w:val="15"/>
          <w:b w:val="0"/>
          <w:bCs w:val="0"/>
          <w:sz w:val="32"/>
          <w:szCs w:val="32"/>
        </w:rPr>
      </w:pPr>
      <w:r>
        <w:rPr>
          <w:rStyle w:val="15"/>
          <w:rFonts w:ascii="Times New Roman" w:hAnsi="Times New Roman" w:cstheme="minorBidi"/>
          <w:b w:val="0"/>
          <w:bCs w:val="0"/>
          <w:sz w:val="32"/>
          <w:szCs w:val="32"/>
        </w:rPr>
        <w:t>志愿者</w:t>
      </w:r>
      <w:r>
        <w:rPr>
          <w:rStyle w:val="15"/>
          <w:rFonts w:ascii="Times New Roman" w:hAnsi="Times New Roman"/>
          <w:b w:val="0"/>
          <w:bCs w:val="0"/>
          <w:sz w:val="32"/>
          <w:szCs w:val="32"/>
        </w:rPr>
        <w:t>实践</w:t>
      </w:r>
      <w:r>
        <w:rPr>
          <w:rStyle w:val="15"/>
          <w:b w:val="0"/>
          <w:bCs w:val="0"/>
          <w:sz w:val="32"/>
          <w:szCs w:val="32"/>
        </w:rPr>
        <w:t>部</w:t>
      </w:r>
    </w:p>
    <w:p w14:paraId="68677BE3">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rPr>
          <w:rFonts w:hint="eastAsia" w:ascii="宋体" w:hAnsi="宋体"/>
          <w:sz w:val="21"/>
          <w:szCs w:val="21"/>
        </w:rPr>
      </w:pPr>
      <w:r>
        <w:rPr>
          <w:rFonts w:hint="eastAsia" w:ascii="宋体" w:hAnsi="宋体"/>
          <w:sz w:val="21"/>
          <w:szCs w:val="21"/>
        </w:rPr>
        <w:t>宣传志愿服务理念，提高学生对志愿服务的认识 鼓励和引导同学们参与到志愿活动中。主要负责策划、组织各类志愿服务活动如：洁校活动，社区活动，六栋教学楼教室的管理。</w:t>
      </w:r>
    </w:p>
    <w:p w14:paraId="2F20AEC6">
      <w:pPr>
        <w:keepNext w:val="0"/>
        <w:keepLines w:val="0"/>
        <w:pageBreakBefore w:val="0"/>
        <w:widowControl/>
        <w:kinsoku/>
        <w:wordWrap/>
        <w:overflowPunct/>
        <w:topLinePunct w:val="0"/>
        <w:autoSpaceDE/>
        <w:autoSpaceDN/>
        <w:bidi w:val="0"/>
        <w:adjustRightInd/>
        <w:snapToGrid/>
        <w:spacing w:before="63" w:beforeLines="20" w:after="63" w:afterLines="20" w:line="280" w:lineRule="exact"/>
        <w:jc w:val="center"/>
        <w:textAlignment w:val="auto"/>
        <w:rPr>
          <w:rStyle w:val="15"/>
          <w:rFonts w:hint="eastAsia" w:ascii="Times New Roman" w:hAnsi="Times New Roman"/>
          <w:b w:val="0"/>
          <w:bCs w:val="0"/>
          <w:sz w:val="32"/>
          <w:szCs w:val="32"/>
          <w:lang w:val="en-US" w:eastAsia="zh-CN"/>
        </w:rPr>
      </w:pPr>
      <w:r>
        <w:rPr>
          <w:rStyle w:val="15"/>
          <w:rFonts w:hint="eastAsia" w:ascii="Times New Roman" w:hAnsi="Times New Roman"/>
          <w:b w:val="0"/>
          <w:bCs w:val="0"/>
          <w:sz w:val="32"/>
          <w:szCs w:val="32"/>
          <w:lang w:val="en-US" w:eastAsia="zh-CN"/>
        </w:rPr>
        <w:t>创新创业服务部</w:t>
      </w:r>
    </w:p>
    <w:p w14:paraId="0ECDF5F2">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rPr>
          <w:rFonts w:ascii="宋体" w:hAnsi="宋体"/>
          <w:sz w:val="21"/>
          <w:szCs w:val="21"/>
        </w:rPr>
      </w:pPr>
      <w:r>
        <w:rPr>
          <w:rFonts w:hint="eastAsia" w:ascii="宋体" w:hAnsi="宋体"/>
          <w:sz w:val="21"/>
          <w:szCs w:val="21"/>
        </w:rPr>
        <w:t>具体负责提升学院学生创新创业意识，鼓励和引导同学们报名各类创新创业大赛，如“互联网+”“挑战杯”“全国技能大赛”“全国大学生电子商务三创赛”等比赛。通过开展一系列创业知识培训、创业实践活动，激发同学们创新意识，创造精神、创业能力。</w:t>
      </w:r>
    </w:p>
    <w:p w14:paraId="5D393BA5">
      <w:pPr>
        <w:keepNext w:val="0"/>
        <w:keepLines w:val="0"/>
        <w:pageBreakBefore w:val="0"/>
        <w:widowControl/>
        <w:kinsoku/>
        <w:wordWrap/>
        <w:overflowPunct/>
        <w:topLinePunct w:val="0"/>
        <w:autoSpaceDE/>
        <w:autoSpaceDN/>
        <w:bidi w:val="0"/>
        <w:adjustRightInd/>
        <w:snapToGrid/>
        <w:spacing w:before="63" w:beforeLines="20" w:after="63" w:afterLines="20" w:line="280" w:lineRule="exact"/>
        <w:jc w:val="center"/>
        <w:textAlignment w:val="auto"/>
        <w:rPr>
          <w:rStyle w:val="15"/>
          <w:rFonts w:hint="default" w:ascii="Times New Roman" w:hAnsi="Times New Roman"/>
          <w:b w:val="0"/>
          <w:bCs w:val="0"/>
          <w:sz w:val="32"/>
          <w:szCs w:val="32"/>
          <w:lang w:val="en-US" w:eastAsia="zh-CN"/>
        </w:rPr>
      </w:pPr>
      <w:r>
        <w:rPr>
          <w:rStyle w:val="15"/>
          <w:rFonts w:hint="eastAsia" w:ascii="Times New Roman" w:hAnsi="Times New Roman"/>
          <w:b w:val="0"/>
          <w:bCs w:val="0"/>
          <w:sz w:val="32"/>
          <w:szCs w:val="32"/>
          <w:lang w:val="en-US" w:eastAsia="zh-CN"/>
        </w:rPr>
        <w:t>学风督导队</w:t>
      </w:r>
    </w:p>
    <w:p w14:paraId="1A52D36E">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rPr>
          <w:rFonts w:hint="eastAsia" w:ascii="宋体" w:hAnsi="宋体"/>
          <w:sz w:val="21"/>
          <w:szCs w:val="21"/>
          <w:lang w:val="en-US" w:eastAsia="zh-CN"/>
        </w:rPr>
      </w:pPr>
      <w:r>
        <w:rPr>
          <w:rFonts w:hint="eastAsia" w:ascii="宋体" w:hAnsi="宋体"/>
          <w:sz w:val="21"/>
          <w:szCs w:val="21"/>
          <w:lang w:val="en-US" w:eastAsia="zh-CN"/>
        </w:rPr>
        <w:t>具体负责学院各班级上课出勤以及无手机课堂落实情况的检查，学风督导队每天开展上课情况检查与反馈，配合学院教学办公室做好资料整理和归档，及时向各班级通知传达教学安排，帮助各项教学安排更顺利开展。</w:t>
      </w:r>
    </w:p>
    <w:p w14:paraId="6B18CCDC">
      <w:pPr>
        <w:keepNext w:val="0"/>
        <w:keepLines w:val="0"/>
        <w:pageBreakBefore w:val="0"/>
        <w:widowControl/>
        <w:kinsoku/>
        <w:wordWrap/>
        <w:overflowPunct/>
        <w:topLinePunct w:val="0"/>
        <w:autoSpaceDE/>
        <w:autoSpaceDN/>
        <w:bidi w:val="0"/>
        <w:adjustRightInd/>
        <w:snapToGrid/>
        <w:spacing w:before="63" w:beforeLines="20" w:after="63" w:afterLines="20" w:line="280" w:lineRule="exact"/>
        <w:jc w:val="center"/>
        <w:textAlignment w:val="auto"/>
        <w:rPr>
          <w:rStyle w:val="15"/>
          <w:rFonts w:hint="default" w:ascii="Times New Roman" w:hAnsi="Times New Roman"/>
          <w:b w:val="0"/>
          <w:bCs w:val="0"/>
          <w:sz w:val="32"/>
          <w:szCs w:val="32"/>
          <w:lang w:val="en-US" w:eastAsia="zh-CN"/>
        </w:rPr>
      </w:pPr>
      <w:r>
        <w:rPr>
          <w:rStyle w:val="15"/>
          <w:rFonts w:hint="eastAsia" w:ascii="Times New Roman" w:hAnsi="Times New Roman"/>
          <w:b w:val="0"/>
          <w:bCs w:val="0"/>
          <w:sz w:val="32"/>
          <w:szCs w:val="32"/>
          <w:lang w:val="en-US" w:eastAsia="zh-CN"/>
        </w:rPr>
        <w:t>文明督导队</w:t>
      </w:r>
    </w:p>
    <w:p w14:paraId="190F8F64">
      <w:pPr>
        <w:keepNext w:val="0"/>
        <w:keepLines w:val="0"/>
        <w:pageBreakBefore w:val="0"/>
        <w:widowControl/>
        <w:kinsoku/>
        <w:wordWrap/>
        <w:overflowPunct/>
        <w:topLinePunct w:val="0"/>
        <w:autoSpaceDE/>
        <w:autoSpaceDN/>
        <w:bidi w:val="0"/>
        <w:adjustRightInd/>
        <w:snapToGrid/>
        <w:spacing w:line="320" w:lineRule="exact"/>
        <w:ind w:firstLine="420" w:firstLineChars="200"/>
        <w:textAlignment w:val="auto"/>
        <w:rPr>
          <w:rFonts w:hint="eastAsia" w:ascii="宋体" w:hAnsi="宋体"/>
          <w:sz w:val="21"/>
          <w:szCs w:val="21"/>
          <w:lang w:val="en-US" w:eastAsia="zh-CN"/>
        </w:rPr>
      </w:pPr>
      <w:r>
        <w:rPr>
          <w:rFonts w:hint="eastAsia" w:ascii="宋体" w:hAnsi="宋体"/>
          <w:sz w:val="21"/>
          <w:szCs w:val="21"/>
          <w:lang w:val="en-US" w:eastAsia="zh-CN"/>
        </w:rPr>
        <w:t>具体负责引导学院学生养成良好的文明意识，管理6栋教学楼和办公室后勤保障工作；文明督导队每天早上开展文明劝导活动，引导和规范同学们养成良好习惯，我们是校园文明的守护者与同行人。每日清晨，我们都以温暖的问候和耐心的劝导，迎接同学们的到来，守护教学楼的整洁与有序。我们的使命不仅是管理好6栋教学楼的后勤保障，更深耕于文明意识的培育。我们相信，每一个小小的文明习惯，都能让我们的校园更加美好，共同提升我们在这里生活的幸福指数，期待与你一起，携手点亮文明之光，让优秀成为一种习惯！</w:t>
      </w:r>
    </w:p>
    <w:p w14:paraId="163B89E4">
      <w:pPr>
        <w:widowControl/>
        <w:spacing w:line="240" w:lineRule="auto"/>
        <w:rPr>
          <w:rFonts w:hint="eastAsia" w:ascii="宋体" w:hAnsi="宋体"/>
          <w:sz w:val="21"/>
          <w:szCs w:val="21"/>
          <w:lang w:val="en-US" w:eastAsia="zh-CN"/>
        </w:rPr>
      </w:pPr>
    </w:p>
    <w:p w14:paraId="4A061C2E">
      <w:pPr>
        <w:widowControl/>
        <w:spacing w:line="240" w:lineRule="auto"/>
        <w:rPr>
          <w:rFonts w:hint="eastAsia" w:ascii="宋体" w:hAnsi="宋体"/>
          <w:sz w:val="21"/>
          <w:szCs w:val="21"/>
          <w:lang w:val="en-US" w:eastAsia="zh-CN"/>
        </w:rPr>
      </w:pPr>
      <w:r>
        <w:rPr>
          <w:rFonts w:hint="eastAsia" w:ascii="宋体" w:hAnsi="宋体"/>
          <w:sz w:val="21"/>
          <w:szCs w:val="21"/>
          <w:lang w:val="en-US" w:eastAsia="zh-CN"/>
        </w:rPr>
        <w:drawing>
          <wp:anchor distT="0" distB="0" distL="114300" distR="114300" simplePos="0" relativeHeight="251659264" behindDoc="0" locked="0" layoutInCell="1" allowOverlap="1">
            <wp:simplePos x="0" y="0"/>
            <wp:positionH relativeFrom="column">
              <wp:posOffset>3087370</wp:posOffset>
            </wp:positionH>
            <wp:positionV relativeFrom="paragraph">
              <wp:posOffset>194945</wp:posOffset>
            </wp:positionV>
            <wp:extent cx="1494155" cy="1526540"/>
            <wp:effectExtent l="0" t="0" r="4445" b="10160"/>
            <wp:wrapSquare wrapText="bothSides"/>
            <wp:docPr id="1" name="图片 1" descr="dff6c3b39cc264e6573bfa299a6517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ff6c3b39cc264e6573bfa299a65173d"/>
                    <pic:cNvPicPr>
                      <a:picLocks noChangeAspect="1"/>
                    </pic:cNvPicPr>
                  </pic:nvPicPr>
                  <pic:blipFill>
                    <a:blip r:embed="rId10"/>
                    <a:srcRect l="13920" t="30659" r="11837" b="26675"/>
                    <a:stretch>
                      <a:fillRect/>
                    </a:stretch>
                  </pic:blipFill>
                  <pic:spPr>
                    <a:xfrm>
                      <a:off x="0" y="0"/>
                      <a:ext cx="1494155" cy="1526540"/>
                    </a:xfrm>
                    <a:prstGeom prst="rect">
                      <a:avLst/>
                    </a:prstGeom>
                  </pic:spPr>
                </pic:pic>
              </a:graphicData>
            </a:graphic>
          </wp:anchor>
        </w:drawing>
      </w:r>
    </w:p>
    <w:p w14:paraId="478F62D3">
      <w:pPr>
        <w:widowControl/>
        <w:spacing w:line="240" w:lineRule="auto"/>
        <w:rPr>
          <w:rFonts w:hint="eastAsia" w:ascii="宋体" w:hAnsi="宋体"/>
          <w:sz w:val="21"/>
          <w:szCs w:val="21"/>
          <w:lang w:val="en-US" w:eastAsia="zh-CN"/>
        </w:rPr>
      </w:pPr>
      <w:r>
        <w:rPr>
          <w:rFonts w:hint="eastAsia" w:ascii="宋体" w:hAnsi="宋体"/>
          <w:sz w:val="21"/>
          <w:szCs w:val="21"/>
          <w:lang w:val="en-US" w:eastAsia="zh-CN"/>
        </w:rPr>
        <w:t>2025年管理学院团总支学生会招新群：1060481851</w:t>
      </w:r>
    </w:p>
    <w:sectPr>
      <w:headerReference r:id="rId5" w:type="first"/>
      <w:footerReference r:id="rId8" w:type="first"/>
      <w:headerReference r:id="rId3" w:type="default"/>
      <w:footerReference r:id="rId6" w:type="default"/>
      <w:headerReference r:id="rId4" w:type="even"/>
      <w:footerReference r:id="rId7" w:type="even"/>
      <w:pgSz w:w="11906" w:h="16838"/>
      <w:pgMar w:top="851" w:right="1700" w:bottom="993"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60E8E">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F5B94">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81E1B">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871EF">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39F1A">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287C6">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mNDEwOGY0YzAwN2IwZjVjOTNiZDEwNjFiOTdiYzAifQ=="/>
  </w:docVars>
  <w:rsids>
    <w:rsidRoot w:val="00A75529"/>
    <w:rsid w:val="00022A8E"/>
    <w:rsid w:val="000C2827"/>
    <w:rsid w:val="00234E1B"/>
    <w:rsid w:val="00276AEE"/>
    <w:rsid w:val="00462825"/>
    <w:rsid w:val="00542EB5"/>
    <w:rsid w:val="00545567"/>
    <w:rsid w:val="00746F49"/>
    <w:rsid w:val="007C6924"/>
    <w:rsid w:val="00917601"/>
    <w:rsid w:val="009A505D"/>
    <w:rsid w:val="009B44EA"/>
    <w:rsid w:val="00A21F2E"/>
    <w:rsid w:val="00A75529"/>
    <w:rsid w:val="00B31C5C"/>
    <w:rsid w:val="00B3232A"/>
    <w:rsid w:val="00B83243"/>
    <w:rsid w:val="00BE0415"/>
    <w:rsid w:val="00C322F6"/>
    <w:rsid w:val="00C727C7"/>
    <w:rsid w:val="00C85515"/>
    <w:rsid w:val="00C87893"/>
    <w:rsid w:val="00D52EBB"/>
    <w:rsid w:val="00E1566E"/>
    <w:rsid w:val="00EF76A6"/>
    <w:rsid w:val="00F518AA"/>
    <w:rsid w:val="01390FBD"/>
    <w:rsid w:val="04E470A0"/>
    <w:rsid w:val="08137E2C"/>
    <w:rsid w:val="099224C2"/>
    <w:rsid w:val="0B27035A"/>
    <w:rsid w:val="0F0547E3"/>
    <w:rsid w:val="0F5F1E38"/>
    <w:rsid w:val="108B7B87"/>
    <w:rsid w:val="111331E7"/>
    <w:rsid w:val="134915D3"/>
    <w:rsid w:val="13EF7DF0"/>
    <w:rsid w:val="14387E69"/>
    <w:rsid w:val="159227C6"/>
    <w:rsid w:val="17147D13"/>
    <w:rsid w:val="198253AE"/>
    <w:rsid w:val="1B373F76"/>
    <w:rsid w:val="1C002D8B"/>
    <w:rsid w:val="1C9F39A1"/>
    <w:rsid w:val="1D737A9B"/>
    <w:rsid w:val="1DD90071"/>
    <w:rsid w:val="20020FF7"/>
    <w:rsid w:val="23F565A4"/>
    <w:rsid w:val="240E2A79"/>
    <w:rsid w:val="2621539B"/>
    <w:rsid w:val="272A501D"/>
    <w:rsid w:val="27317FFE"/>
    <w:rsid w:val="2874163D"/>
    <w:rsid w:val="2A8C13C5"/>
    <w:rsid w:val="2B1726C8"/>
    <w:rsid w:val="2B3D6FF0"/>
    <w:rsid w:val="30AA102C"/>
    <w:rsid w:val="31921AAF"/>
    <w:rsid w:val="324F521F"/>
    <w:rsid w:val="327613D0"/>
    <w:rsid w:val="362D0487"/>
    <w:rsid w:val="373E0503"/>
    <w:rsid w:val="37A02A29"/>
    <w:rsid w:val="382402C5"/>
    <w:rsid w:val="39766A2B"/>
    <w:rsid w:val="3BF2713E"/>
    <w:rsid w:val="3CC36018"/>
    <w:rsid w:val="3D2B4D34"/>
    <w:rsid w:val="3E514F2C"/>
    <w:rsid w:val="3E767DA9"/>
    <w:rsid w:val="40572DE6"/>
    <w:rsid w:val="40896614"/>
    <w:rsid w:val="424F19F5"/>
    <w:rsid w:val="46B91890"/>
    <w:rsid w:val="47666C00"/>
    <w:rsid w:val="479A237B"/>
    <w:rsid w:val="482D0D17"/>
    <w:rsid w:val="48A4494C"/>
    <w:rsid w:val="49AF5A14"/>
    <w:rsid w:val="49E728CF"/>
    <w:rsid w:val="4B810772"/>
    <w:rsid w:val="4DB6279B"/>
    <w:rsid w:val="4DD51249"/>
    <w:rsid w:val="551268DF"/>
    <w:rsid w:val="552377A8"/>
    <w:rsid w:val="559F6DA9"/>
    <w:rsid w:val="5621502B"/>
    <w:rsid w:val="56405FA3"/>
    <w:rsid w:val="57B228FF"/>
    <w:rsid w:val="5E53616A"/>
    <w:rsid w:val="5F1E6CA9"/>
    <w:rsid w:val="5FD5110B"/>
    <w:rsid w:val="5FE5336C"/>
    <w:rsid w:val="62EF27F0"/>
    <w:rsid w:val="653E4426"/>
    <w:rsid w:val="65A25906"/>
    <w:rsid w:val="691E7EFB"/>
    <w:rsid w:val="69EB2EC4"/>
    <w:rsid w:val="6CFB2237"/>
    <w:rsid w:val="6D977745"/>
    <w:rsid w:val="6DC00306"/>
    <w:rsid w:val="6DD43EC7"/>
    <w:rsid w:val="74175026"/>
    <w:rsid w:val="75320FAB"/>
    <w:rsid w:val="763A0466"/>
    <w:rsid w:val="77C679E0"/>
    <w:rsid w:val="7FBB0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5"/>
    <w:qFormat/>
    <w:uiPriority w:val="9"/>
    <w:pPr>
      <w:keepNext/>
      <w:keepLines/>
      <w:spacing w:before="120" w:after="120"/>
      <w:jc w:val="center"/>
      <w:outlineLvl w:val="0"/>
    </w:pPr>
    <w:rPr>
      <w:rFonts w:eastAsia="黑体"/>
      <w:b/>
      <w:bCs/>
      <w:kern w:val="44"/>
      <w:sz w:val="36"/>
      <w:szCs w:val="44"/>
    </w:rPr>
  </w:style>
  <w:style w:type="character" w:default="1" w:styleId="8">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13"/>
    <w:qFormat/>
    <w:uiPriority w:val="0"/>
    <w:pPr>
      <w:ind w:left="100" w:leftChars="2500"/>
    </w:p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11"/>
    <w:autoRedefine/>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themeColor="hyperlink"/>
      <w:u w:val="single"/>
      <w14:textFill>
        <w14:solidFill>
          <w14:schemeClr w14:val="hlink"/>
        </w14:solidFill>
      </w14:textFill>
    </w:rPr>
  </w:style>
  <w:style w:type="character" w:customStyle="1" w:styleId="10">
    <w:name w:val="页脚 字符"/>
    <w:link w:val="4"/>
    <w:autoRedefine/>
    <w:qFormat/>
    <w:uiPriority w:val="0"/>
    <w:rPr>
      <w:kern w:val="2"/>
      <w:sz w:val="18"/>
      <w:szCs w:val="18"/>
    </w:rPr>
  </w:style>
  <w:style w:type="character" w:customStyle="1" w:styleId="11">
    <w:name w:val="页眉 字符"/>
    <w:link w:val="5"/>
    <w:autoRedefine/>
    <w:qFormat/>
    <w:uiPriority w:val="0"/>
    <w:rPr>
      <w:kern w:val="2"/>
      <w:sz w:val="18"/>
      <w:szCs w:val="18"/>
    </w:rPr>
  </w:style>
  <w:style w:type="table" w:customStyle="1" w:styleId="12">
    <w:name w:val="网格型1"/>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日期 字符"/>
    <w:basedOn w:val="8"/>
    <w:link w:val="3"/>
    <w:autoRedefine/>
    <w:qFormat/>
    <w:uiPriority w:val="0"/>
    <w:rPr>
      <w:kern w:val="2"/>
      <w:sz w:val="21"/>
      <w:szCs w:val="24"/>
    </w:rPr>
  </w:style>
  <w:style w:type="character" w:customStyle="1" w:styleId="14">
    <w:name w:val="Unresolved Mention"/>
    <w:basedOn w:val="8"/>
    <w:autoRedefine/>
    <w:semiHidden/>
    <w:unhideWhenUsed/>
    <w:qFormat/>
    <w:uiPriority w:val="99"/>
    <w:rPr>
      <w:color w:val="605E5C"/>
      <w:shd w:val="clear" w:color="auto" w:fill="E1DFDD"/>
    </w:rPr>
  </w:style>
  <w:style w:type="character" w:customStyle="1" w:styleId="15">
    <w:name w:val="标题 1 字符"/>
    <w:basedOn w:val="8"/>
    <w:link w:val="2"/>
    <w:autoRedefine/>
    <w:qFormat/>
    <w:uiPriority w:val="9"/>
    <w:rPr>
      <w:rFonts w:eastAsia="黑体"/>
      <w:b/>
      <w:bCs/>
      <w:kern w:val="44"/>
      <w:sz w:val="36"/>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2711</Words>
  <Characters>2791</Characters>
  <Lines>8</Lines>
  <Paragraphs>2</Paragraphs>
  <TotalTime>7</TotalTime>
  <ScaleCrop>false</ScaleCrop>
  <LinksUpToDate>false</LinksUpToDate>
  <CharactersWithSpaces>2796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2023-05-02T04:16:00Z</dcterms:created>
  <dc:creator>Administrator</dc:creator>
  <cp:lastModifiedBy>8237224811</cp:lastModifiedBy>
  <dcterms:modified xsi:type="dcterms:W3CDTF">2025-09-15T08:15:23Z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BB431E45A31C48118F80B8B30DC4B462_13</vt:lpwstr>
  </property>
  <property fmtid="{D5CDD505-2E9C-101B-9397-08002B2CF9AE}" pid="4" name="KSOTemplateDocerSaveRecord">
    <vt:lpwstr>eyJoZGlkIjoiMmUyMWU1ZTBmZTA4YmEyNDA3NjUyZWI0ZDFhOWQ0YzYiLCJ1c2VySWQiOiIxNjcyMDE4ODM5In0=</vt:lpwstr>
  </property>
</Properties>
</file>